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7DF376">
      <w:pPr>
        <w:jc w:val="left"/>
        <w:rPr>
          <w:rFonts w:hint="eastAsia" w:ascii="黑体" w:hAnsi="黑体" w:eastAsia="黑体" w:cs="黑体"/>
          <w:sz w:val="30"/>
          <w:szCs w:val="30"/>
        </w:rPr>
      </w:pPr>
      <w:r>
        <w:rPr>
          <w:rFonts w:hint="eastAsia" w:ascii="黑体" w:hAnsi="黑体" w:eastAsia="黑体" w:cs="黑体"/>
          <w:sz w:val="30"/>
          <w:szCs w:val="30"/>
        </w:rPr>
        <w:t>附件1</w:t>
      </w:r>
    </w:p>
    <w:p w14:paraId="4520A6D1">
      <w:pPr>
        <w:widowControl/>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技术和服务要求</w:t>
      </w:r>
    </w:p>
    <w:p w14:paraId="687D72B5">
      <w:pPr>
        <w:pStyle w:val="10"/>
        <w:adjustRightInd w:val="0"/>
        <w:snapToGrid w:val="0"/>
        <w:ind w:firstLine="482" w:firstLineChars="200"/>
        <w:rPr>
          <w:rFonts w:ascii="仿宋" w:hAnsi="仿宋" w:eastAsia="仿宋" w:cs="仿宋"/>
          <w:color w:val="auto"/>
          <w:sz w:val="24"/>
          <w:szCs w:val="24"/>
        </w:rPr>
      </w:pPr>
      <w:bookmarkStart w:id="0" w:name="OLE_LINK24"/>
      <w:bookmarkStart w:id="1" w:name="OLE_LINK23"/>
      <w:r>
        <w:rPr>
          <w:rFonts w:ascii="仿宋" w:hAnsi="仿宋" w:eastAsia="仿宋" w:cs="仿宋"/>
          <w:b/>
          <w:color w:val="auto"/>
          <w:sz w:val="24"/>
          <w:szCs w:val="24"/>
        </w:rPr>
        <w:t>一、项目概况</w:t>
      </w:r>
    </w:p>
    <w:p w14:paraId="212D0304">
      <w:pPr>
        <w:spacing w:line="360" w:lineRule="auto"/>
        <w:ind w:firstLine="480" w:firstLineChars="200"/>
        <w:rPr>
          <w:rFonts w:hint="eastAsia" w:ascii="仿宋" w:hAnsi="仿宋" w:eastAsia="仿宋" w:cs="仿宋"/>
          <w:b/>
          <w:color w:val="auto"/>
          <w:sz w:val="24"/>
        </w:rPr>
      </w:pPr>
      <w:r>
        <w:rPr>
          <w:rFonts w:hint="eastAsia" w:ascii="仿宋" w:hAnsi="仿宋" w:eastAsia="仿宋" w:cs="仿宋"/>
          <w:color w:val="auto"/>
          <w:sz w:val="24"/>
        </w:rPr>
        <w:t>本项目为</w:t>
      </w:r>
      <w:bookmarkStart w:id="2" w:name="OLE_LINK4"/>
      <w:r>
        <w:rPr>
          <w:rFonts w:hint="eastAsia" w:ascii="仿宋" w:hAnsi="仿宋" w:eastAsia="仿宋" w:cs="仿宋"/>
          <w:color w:val="auto"/>
          <w:sz w:val="24"/>
        </w:rPr>
        <w:t>福建师范大学附属小学</w:t>
      </w:r>
      <w:bookmarkEnd w:id="2"/>
      <w:r>
        <w:rPr>
          <w:rFonts w:ascii="仿宋" w:hAnsi="仿宋" w:eastAsia="仿宋" w:cs="仿宋"/>
          <w:color w:val="auto"/>
          <w:sz w:val="24"/>
        </w:rPr>
        <w:t>逸夫楼东南侧</w:t>
      </w:r>
      <w:r>
        <w:rPr>
          <w:rFonts w:hint="eastAsia" w:ascii="仿宋" w:hAnsi="仿宋" w:eastAsia="仿宋" w:cs="仿宋"/>
          <w:color w:val="auto"/>
          <w:sz w:val="24"/>
        </w:rPr>
        <w:t>既有挡墙</w:t>
      </w:r>
      <w:r>
        <w:rPr>
          <w:rFonts w:ascii="仿宋" w:hAnsi="仿宋" w:eastAsia="仿宋" w:cs="仿宋"/>
          <w:color w:val="auto"/>
          <w:sz w:val="24"/>
        </w:rPr>
        <w:t>勘察及加固设计</w:t>
      </w:r>
      <w:r>
        <w:rPr>
          <w:rFonts w:hint="eastAsia" w:ascii="仿宋" w:hAnsi="仿宋" w:eastAsia="仿宋" w:cs="仿宋"/>
          <w:color w:val="auto"/>
          <w:sz w:val="24"/>
        </w:rPr>
        <w:t>项目。该项目旨在对福建师范大学附属小学逸夫楼东南侧挡墙（高度约6.0~6.5m，长度约71m）进行岩土工程勘察和挡墙加固设计工作，以满足挡墙现状安全性。</w:t>
      </w:r>
    </w:p>
    <w:p w14:paraId="700FDEA5">
      <w:pPr>
        <w:pStyle w:val="10"/>
        <w:adjustRightInd w:val="0"/>
        <w:snapToGrid w:val="0"/>
        <w:ind w:firstLine="482" w:firstLineChars="200"/>
        <w:rPr>
          <w:rFonts w:ascii="仿宋" w:hAnsi="仿宋" w:eastAsia="仿宋" w:cs="仿宋"/>
          <w:b/>
          <w:color w:val="auto"/>
          <w:sz w:val="24"/>
          <w:szCs w:val="24"/>
          <w:lang w:eastAsia="zh-CN"/>
        </w:rPr>
      </w:pPr>
      <w:r>
        <w:rPr>
          <w:rFonts w:ascii="仿宋" w:hAnsi="仿宋" w:eastAsia="仿宋" w:cs="仿宋"/>
          <w:b/>
          <w:color w:val="auto"/>
          <w:sz w:val="24"/>
          <w:szCs w:val="24"/>
          <w:lang w:eastAsia="zh-CN"/>
        </w:rPr>
        <w:t>二、</w:t>
      </w:r>
      <w:r>
        <w:rPr>
          <w:rFonts w:ascii="仿宋" w:hAnsi="仿宋" w:eastAsia="仿宋" w:cs="仿宋"/>
          <w:b/>
          <w:color w:val="auto"/>
          <w:sz w:val="24"/>
          <w:szCs w:val="24"/>
        </w:rPr>
        <w:t>技术</w:t>
      </w:r>
      <w:r>
        <w:rPr>
          <w:rFonts w:ascii="仿宋" w:hAnsi="仿宋" w:eastAsia="仿宋" w:cs="仿宋"/>
          <w:b/>
          <w:color w:val="auto"/>
          <w:sz w:val="24"/>
          <w:szCs w:val="24"/>
          <w:lang w:eastAsia="zh-CN"/>
        </w:rPr>
        <w:t>参数及</w:t>
      </w:r>
      <w:r>
        <w:rPr>
          <w:rFonts w:ascii="仿宋" w:hAnsi="仿宋" w:eastAsia="仿宋" w:cs="仿宋"/>
          <w:b/>
          <w:color w:val="auto"/>
          <w:sz w:val="24"/>
          <w:szCs w:val="24"/>
        </w:rPr>
        <w:t>要求</w:t>
      </w:r>
    </w:p>
    <w:p w14:paraId="2C589238">
      <w:pPr>
        <w:pStyle w:val="10"/>
        <w:adjustRightInd w:val="0"/>
        <w:snapToGrid w:val="0"/>
        <w:ind w:firstLine="482" w:firstLineChars="200"/>
        <w:rPr>
          <w:rFonts w:ascii="仿宋" w:hAnsi="仿宋" w:eastAsia="仿宋" w:cs="仿宋"/>
          <w:b/>
          <w:color w:val="auto"/>
          <w:sz w:val="24"/>
          <w:szCs w:val="24"/>
          <w:lang w:eastAsia="zh-CN"/>
        </w:rPr>
      </w:pPr>
    </w:p>
    <w:tbl>
      <w:tblPr>
        <w:tblStyle w:val="7"/>
        <w:tblW w:w="39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3907"/>
        <w:gridCol w:w="2318"/>
        <w:gridCol w:w="1301"/>
      </w:tblGrid>
      <w:tr w14:paraId="340C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17" w:type="pct"/>
            <w:vAlign w:val="center"/>
          </w:tcPr>
          <w:p w14:paraId="3F793832">
            <w:pPr>
              <w:adjustRightInd w:val="0"/>
              <w:snapToGrid w:val="0"/>
              <w:spacing w:before="93" w:beforeLines="30" w:after="93" w:afterLines="30"/>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2327" w:type="pct"/>
            <w:vAlign w:val="center"/>
          </w:tcPr>
          <w:p w14:paraId="7634CDAB">
            <w:pPr>
              <w:adjustRightInd w:val="0"/>
              <w:snapToGrid w:val="0"/>
              <w:spacing w:before="93" w:beforeLines="30" w:after="93" w:afterLines="30"/>
              <w:jc w:val="center"/>
              <w:rPr>
                <w:rFonts w:hint="eastAsia" w:ascii="仿宋" w:hAnsi="仿宋" w:eastAsia="仿宋" w:cs="仿宋"/>
                <w:color w:val="auto"/>
                <w:sz w:val="24"/>
              </w:rPr>
            </w:pPr>
            <w:r>
              <w:rPr>
                <w:rFonts w:hint="eastAsia" w:ascii="仿宋" w:hAnsi="仿宋" w:eastAsia="仿宋" w:cs="仿宋"/>
                <w:color w:val="auto"/>
                <w:sz w:val="24"/>
              </w:rPr>
              <w:t>成果名称</w:t>
            </w:r>
          </w:p>
        </w:tc>
        <w:tc>
          <w:tcPr>
            <w:tcW w:w="1381" w:type="pct"/>
            <w:vAlign w:val="center"/>
          </w:tcPr>
          <w:p w14:paraId="7CB391E3">
            <w:pPr>
              <w:adjustRightInd w:val="0"/>
              <w:snapToGrid w:val="0"/>
              <w:spacing w:before="93" w:beforeLines="30" w:after="93" w:afterLines="30"/>
              <w:jc w:val="center"/>
              <w:rPr>
                <w:rFonts w:hint="eastAsia" w:ascii="仿宋" w:hAnsi="仿宋" w:eastAsia="仿宋" w:cs="仿宋"/>
                <w:color w:val="auto"/>
                <w:sz w:val="24"/>
              </w:rPr>
            </w:pPr>
            <w:r>
              <w:rPr>
                <w:rFonts w:hint="eastAsia" w:ascii="仿宋" w:hAnsi="仿宋" w:eastAsia="仿宋" w:cs="仿宋"/>
                <w:color w:val="auto"/>
                <w:sz w:val="24"/>
              </w:rPr>
              <w:t>技术参数及要求</w:t>
            </w:r>
          </w:p>
        </w:tc>
        <w:tc>
          <w:tcPr>
            <w:tcW w:w="776" w:type="pct"/>
            <w:vAlign w:val="center"/>
          </w:tcPr>
          <w:p w14:paraId="621B68E5">
            <w:pPr>
              <w:adjustRightInd w:val="0"/>
              <w:snapToGrid w:val="0"/>
              <w:spacing w:before="93" w:beforeLines="30" w:after="93" w:afterLines="30"/>
              <w:jc w:val="center"/>
              <w:rPr>
                <w:rFonts w:hint="eastAsia" w:ascii="仿宋" w:hAnsi="仿宋" w:eastAsia="仿宋" w:cs="仿宋"/>
                <w:color w:val="auto"/>
                <w:sz w:val="24"/>
              </w:rPr>
            </w:pPr>
            <w:r>
              <w:rPr>
                <w:rFonts w:hint="eastAsia" w:ascii="仿宋" w:hAnsi="仿宋" w:eastAsia="仿宋" w:cs="仿宋"/>
                <w:color w:val="auto"/>
                <w:sz w:val="24"/>
              </w:rPr>
              <w:t>服务时间</w:t>
            </w:r>
          </w:p>
        </w:tc>
      </w:tr>
      <w:tr w14:paraId="53A5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17" w:type="pct"/>
            <w:vAlign w:val="center"/>
          </w:tcPr>
          <w:p w14:paraId="48F871FD">
            <w:pPr>
              <w:adjustRightInd w:val="0"/>
              <w:snapToGrid w:val="0"/>
              <w:spacing w:before="93" w:beforeLines="30" w:after="93" w:afterLines="30"/>
              <w:jc w:val="center"/>
              <w:rPr>
                <w:rFonts w:hint="eastAsia" w:ascii="仿宋" w:hAnsi="仿宋" w:eastAsia="仿宋" w:cs="仿宋"/>
                <w:color w:val="auto"/>
                <w:sz w:val="24"/>
              </w:rPr>
            </w:pPr>
            <w:r>
              <w:rPr>
                <w:rFonts w:hint="eastAsia" w:ascii="仿宋" w:hAnsi="仿宋" w:eastAsia="仿宋" w:cs="仿宋"/>
                <w:color w:val="auto"/>
                <w:sz w:val="24"/>
              </w:rPr>
              <w:t>1</w:t>
            </w:r>
          </w:p>
        </w:tc>
        <w:tc>
          <w:tcPr>
            <w:tcW w:w="2327" w:type="pct"/>
            <w:vAlign w:val="center"/>
          </w:tcPr>
          <w:p w14:paraId="195E967C">
            <w:pPr>
              <w:adjustRightInd w:val="0"/>
              <w:snapToGrid w:val="0"/>
              <w:spacing w:before="93" w:beforeLines="30" w:after="93" w:afterLines="30"/>
              <w:jc w:val="center"/>
              <w:rPr>
                <w:rFonts w:hint="eastAsia" w:ascii="仿宋" w:hAnsi="仿宋" w:eastAsia="仿宋" w:cs="仿宋"/>
                <w:color w:val="auto"/>
                <w:sz w:val="24"/>
              </w:rPr>
            </w:pPr>
            <w:r>
              <w:rPr>
                <w:rFonts w:hint="eastAsia" w:ascii="仿宋" w:hAnsi="仿宋" w:eastAsia="仿宋" w:cs="仿宋"/>
                <w:color w:val="auto"/>
                <w:sz w:val="24"/>
              </w:rPr>
              <w:t>《</w:t>
            </w:r>
            <w:bookmarkStart w:id="3" w:name="OLE_LINK5"/>
            <w:bookmarkStart w:id="4" w:name="OLE_LINK3"/>
            <w:r>
              <w:rPr>
                <w:rFonts w:hint="eastAsia" w:ascii="仿宋" w:hAnsi="仿宋" w:eastAsia="仿宋" w:cs="仿宋"/>
                <w:color w:val="auto"/>
                <w:sz w:val="24"/>
              </w:rPr>
              <w:t>福建师范大学附属小学逸夫楼东南侧既有挡墙岩土工程勘察</w:t>
            </w:r>
            <w:bookmarkEnd w:id="3"/>
            <w:r>
              <w:rPr>
                <w:rFonts w:hint="eastAsia" w:ascii="仿宋" w:hAnsi="仿宋" w:eastAsia="仿宋" w:cs="仿宋"/>
                <w:color w:val="auto"/>
                <w:sz w:val="24"/>
              </w:rPr>
              <w:t>报告</w:t>
            </w:r>
            <w:bookmarkEnd w:id="4"/>
            <w:r>
              <w:rPr>
                <w:rFonts w:hint="eastAsia" w:ascii="仿宋" w:hAnsi="仿宋" w:eastAsia="仿宋" w:cs="仿宋"/>
                <w:color w:val="auto"/>
                <w:sz w:val="24"/>
              </w:rPr>
              <w:t>》</w:t>
            </w:r>
          </w:p>
        </w:tc>
        <w:tc>
          <w:tcPr>
            <w:tcW w:w="1381" w:type="pct"/>
            <w:vAlign w:val="center"/>
          </w:tcPr>
          <w:p w14:paraId="289603EA">
            <w:pPr>
              <w:snapToGrid w:val="0"/>
              <w:spacing w:before="93" w:beforeLines="30" w:after="93" w:afterLines="30"/>
              <w:jc w:val="center"/>
              <w:rPr>
                <w:rFonts w:hint="eastAsia" w:ascii="仿宋" w:hAnsi="仿宋" w:eastAsia="仿宋" w:cs="仿宋"/>
                <w:color w:val="auto"/>
                <w:sz w:val="24"/>
              </w:rPr>
            </w:pPr>
            <w:r>
              <w:rPr>
                <w:rFonts w:hint="eastAsia" w:ascii="仿宋" w:hAnsi="仿宋" w:eastAsia="仿宋" w:cs="仿宋"/>
                <w:color w:val="auto"/>
                <w:sz w:val="24"/>
              </w:rPr>
              <w:t>满足合同及国家、行业相关标准</w:t>
            </w:r>
          </w:p>
        </w:tc>
        <w:tc>
          <w:tcPr>
            <w:tcW w:w="776" w:type="pct"/>
            <w:vAlign w:val="center"/>
          </w:tcPr>
          <w:p w14:paraId="312901D3">
            <w:pPr>
              <w:adjustRightInd w:val="0"/>
              <w:snapToGrid w:val="0"/>
              <w:spacing w:before="93" w:beforeLines="30" w:after="93" w:afterLines="30"/>
              <w:jc w:val="center"/>
              <w:rPr>
                <w:rFonts w:hint="eastAsia" w:ascii="仿宋" w:hAnsi="仿宋" w:eastAsia="仿宋" w:cs="仿宋"/>
                <w:color w:val="auto"/>
                <w:sz w:val="24"/>
              </w:rPr>
            </w:pPr>
            <w:r>
              <w:rPr>
                <w:rFonts w:hint="eastAsia" w:ascii="仿宋" w:hAnsi="仿宋" w:eastAsia="仿宋" w:cs="仿宋"/>
                <w:color w:val="auto"/>
                <w:sz w:val="24"/>
              </w:rPr>
              <w:t>一年</w:t>
            </w:r>
          </w:p>
        </w:tc>
      </w:tr>
      <w:tr w14:paraId="7572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17" w:type="pct"/>
            <w:vAlign w:val="center"/>
          </w:tcPr>
          <w:p w14:paraId="3F732FD2">
            <w:pPr>
              <w:adjustRightInd w:val="0"/>
              <w:snapToGrid w:val="0"/>
              <w:spacing w:before="93" w:beforeLines="30" w:after="93" w:afterLines="30"/>
              <w:jc w:val="center"/>
              <w:rPr>
                <w:rFonts w:hint="eastAsia" w:ascii="仿宋" w:hAnsi="仿宋" w:eastAsia="仿宋" w:cs="仿宋"/>
                <w:color w:val="auto"/>
                <w:sz w:val="24"/>
              </w:rPr>
            </w:pPr>
            <w:bookmarkStart w:id="5" w:name="_Toc25201"/>
            <w:r>
              <w:rPr>
                <w:rFonts w:hint="eastAsia" w:ascii="仿宋" w:hAnsi="仿宋" w:eastAsia="仿宋" w:cs="仿宋"/>
                <w:color w:val="auto"/>
                <w:sz w:val="24"/>
              </w:rPr>
              <w:t>2</w:t>
            </w:r>
          </w:p>
        </w:tc>
        <w:tc>
          <w:tcPr>
            <w:tcW w:w="2327" w:type="pct"/>
            <w:vAlign w:val="center"/>
          </w:tcPr>
          <w:p w14:paraId="0ED77030">
            <w:pPr>
              <w:adjustRightInd w:val="0"/>
              <w:snapToGrid w:val="0"/>
              <w:spacing w:before="93" w:beforeLines="30" w:after="93" w:afterLines="30"/>
              <w:jc w:val="center"/>
              <w:rPr>
                <w:rFonts w:hint="eastAsia" w:ascii="仿宋" w:hAnsi="仿宋" w:eastAsia="仿宋" w:cs="仿宋"/>
                <w:color w:val="auto"/>
                <w:sz w:val="24"/>
              </w:rPr>
            </w:pPr>
            <w:r>
              <w:rPr>
                <w:rFonts w:hint="eastAsia" w:ascii="仿宋" w:hAnsi="仿宋" w:eastAsia="仿宋" w:cs="仿宋"/>
                <w:color w:val="auto"/>
                <w:sz w:val="24"/>
              </w:rPr>
              <w:t>《</w:t>
            </w:r>
            <w:bookmarkStart w:id="6" w:name="OLE_LINK6"/>
            <w:r>
              <w:rPr>
                <w:rFonts w:hint="eastAsia" w:ascii="仿宋" w:hAnsi="仿宋" w:eastAsia="仿宋" w:cs="仿宋"/>
                <w:color w:val="auto"/>
                <w:sz w:val="24"/>
              </w:rPr>
              <w:t>福建师范大学附属小学逸夫楼东南侧既有挡墙加固设计施工图</w:t>
            </w:r>
            <w:bookmarkEnd w:id="6"/>
            <w:r>
              <w:rPr>
                <w:rFonts w:hint="eastAsia" w:ascii="仿宋" w:hAnsi="仿宋" w:eastAsia="仿宋" w:cs="仿宋"/>
                <w:color w:val="auto"/>
                <w:sz w:val="24"/>
              </w:rPr>
              <w:t>》</w:t>
            </w:r>
          </w:p>
        </w:tc>
        <w:tc>
          <w:tcPr>
            <w:tcW w:w="1381" w:type="pct"/>
            <w:vAlign w:val="center"/>
          </w:tcPr>
          <w:p w14:paraId="721215D4">
            <w:pPr>
              <w:snapToGrid w:val="0"/>
              <w:spacing w:before="93" w:beforeLines="30" w:after="93" w:afterLines="30"/>
              <w:jc w:val="center"/>
              <w:rPr>
                <w:rFonts w:hint="eastAsia" w:ascii="仿宋" w:hAnsi="仿宋" w:eastAsia="仿宋" w:cs="仿宋"/>
                <w:color w:val="auto"/>
                <w:sz w:val="24"/>
              </w:rPr>
            </w:pPr>
            <w:r>
              <w:rPr>
                <w:rFonts w:hint="eastAsia" w:ascii="仿宋" w:hAnsi="仿宋" w:eastAsia="仿宋" w:cs="仿宋"/>
                <w:color w:val="auto"/>
                <w:sz w:val="24"/>
              </w:rPr>
              <w:t>满足合同及国家、行业相关标准</w:t>
            </w:r>
          </w:p>
        </w:tc>
        <w:tc>
          <w:tcPr>
            <w:tcW w:w="776" w:type="pct"/>
            <w:vAlign w:val="center"/>
          </w:tcPr>
          <w:p w14:paraId="7B47434B">
            <w:pPr>
              <w:adjustRightInd w:val="0"/>
              <w:snapToGrid w:val="0"/>
              <w:spacing w:before="93" w:beforeLines="30" w:after="93" w:afterLines="30"/>
              <w:jc w:val="center"/>
              <w:rPr>
                <w:rFonts w:hint="eastAsia" w:ascii="仿宋" w:hAnsi="仿宋" w:eastAsia="仿宋" w:cs="仿宋"/>
                <w:color w:val="auto"/>
                <w:sz w:val="24"/>
              </w:rPr>
            </w:pPr>
            <w:r>
              <w:rPr>
                <w:rFonts w:hint="eastAsia" w:ascii="仿宋" w:hAnsi="仿宋" w:eastAsia="仿宋" w:cs="仿宋"/>
                <w:color w:val="auto"/>
                <w:sz w:val="24"/>
              </w:rPr>
              <w:t>一年</w:t>
            </w:r>
          </w:p>
        </w:tc>
      </w:tr>
    </w:tbl>
    <w:p w14:paraId="57BF6530">
      <w:pPr>
        <w:pStyle w:val="10"/>
        <w:adjustRightInd w:val="0"/>
        <w:snapToGrid w:val="0"/>
        <w:ind w:firstLine="482" w:firstLineChars="200"/>
        <w:rPr>
          <w:rFonts w:ascii="仿宋" w:hAnsi="仿宋" w:eastAsia="仿宋" w:cs="仿宋"/>
          <w:b/>
          <w:color w:val="auto"/>
          <w:sz w:val="24"/>
          <w:szCs w:val="24"/>
          <w:lang w:eastAsia="zh-CN"/>
        </w:rPr>
      </w:pPr>
      <w:r>
        <w:rPr>
          <w:rFonts w:ascii="仿宋" w:hAnsi="仿宋" w:eastAsia="仿宋" w:cs="仿宋"/>
          <w:b/>
          <w:color w:val="auto"/>
          <w:sz w:val="24"/>
          <w:szCs w:val="24"/>
        </w:rPr>
        <w:t>三、技术服务内容及要求</w:t>
      </w:r>
      <w:bookmarkEnd w:id="5"/>
    </w:p>
    <w:p w14:paraId="030D9BEA">
      <w:pPr>
        <w:pStyle w:val="10"/>
        <w:adjustRightInd w:val="0"/>
        <w:snapToGrid w:val="0"/>
        <w:ind w:firstLine="482" w:firstLineChars="200"/>
        <w:rPr>
          <w:rFonts w:ascii="仿宋" w:hAnsi="仿宋" w:eastAsia="仿宋" w:cs="仿宋"/>
          <w:b/>
          <w:color w:val="auto"/>
          <w:sz w:val="24"/>
          <w:szCs w:val="24"/>
          <w:lang w:eastAsia="zh-CN"/>
        </w:rPr>
      </w:pPr>
    </w:p>
    <w:tbl>
      <w:tblPr>
        <w:tblStyle w:val="7"/>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0"/>
      </w:tblGrid>
      <w:tr w14:paraId="4F26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0" w:type="dxa"/>
            <w:vAlign w:val="center"/>
          </w:tcPr>
          <w:p w14:paraId="188A4C6A">
            <w:pPr>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1.技术服务对象：福建师范大学附属小学逸夫楼东南侧挡墙（高度约6.0~6.5m，长度约71m）。</w:t>
            </w:r>
          </w:p>
          <w:p w14:paraId="2C4A4B6C">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2.技术服务期限：</w:t>
            </w:r>
            <w:r>
              <w:rPr>
                <w:rFonts w:hint="eastAsia" w:ascii="仿宋" w:hAnsi="仿宋" w:eastAsia="仿宋" w:cs="仿宋"/>
                <w:color w:val="auto"/>
                <w:sz w:val="24"/>
                <w:u w:val="single"/>
              </w:rPr>
              <w:t xml:space="preserve"> 壹 年</w:t>
            </w:r>
            <w:r>
              <w:rPr>
                <w:rFonts w:hint="eastAsia" w:ascii="仿宋" w:hAnsi="仿宋" w:eastAsia="仿宋" w:cs="仿宋"/>
                <w:color w:val="auto"/>
                <w:sz w:val="24"/>
              </w:rPr>
              <w:t>（以合同签订时间为准）。</w:t>
            </w:r>
          </w:p>
          <w:p w14:paraId="645F7DF3">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3.技术服务要求：满足合同及国家、行业相关标准。</w:t>
            </w:r>
          </w:p>
          <w:p w14:paraId="3FB69A0B">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4.技术服务内容：①</w:t>
            </w:r>
            <w:r>
              <w:rPr>
                <w:rFonts w:ascii="仿宋" w:hAnsi="仿宋" w:eastAsia="仿宋" w:cs="仿宋"/>
                <w:color w:val="auto"/>
                <w:sz w:val="24"/>
              </w:rPr>
              <w:t>福建师范大学附属小学逸夫楼东南侧既有挡墙岩土工程</w:t>
            </w:r>
            <w:r>
              <w:rPr>
                <w:rFonts w:hint="eastAsia" w:ascii="仿宋" w:hAnsi="仿宋" w:eastAsia="仿宋" w:cs="仿宋"/>
                <w:color w:val="auto"/>
                <w:sz w:val="24"/>
              </w:rPr>
              <w:t>地质</w:t>
            </w:r>
            <w:r>
              <w:rPr>
                <w:rFonts w:ascii="仿宋" w:hAnsi="仿宋" w:eastAsia="仿宋" w:cs="仿宋"/>
                <w:color w:val="auto"/>
                <w:sz w:val="24"/>
              </w:rPr>
              <w:t>勘察</w:t>
            </w:r>
            <w:r>
              <w:rPr>
                <w:rFonts w:hint="eastAsia" w:ascii="仿宋" w:hAnsi="仿宋" w:eastAsia="仿宋" w:cs="仿宋"/>
                <w:color w:val="auto"/>
                <w:sz w:val="24"/>
              </w:rPr>
              <w:t>；②福建师范大学附属小学逸夫楼东南侧既有挡墙加固设计。</w:t>
            </w:r>
          </w:p>
          <w:p w14:paraId="10CF24B6">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5、技术服务相关技术规范： </w:t>
            </w:r>
          </w:p>
          <w:p w14:paraId="5F60E870">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①</w:t>
            </w:r>
            <w:r>
              <w:rPr>
                <w:rFonts w:ascii="仿宋" w:hAnsi="仿宋" w:eastAsia="仿宋" w:cs="仿宋"/>
                <w:color w:val="auto"/>
                <w:sz w:val="24"/>
              </w:rPr>
              <w:t>《建筑与市政地基基础通用规范》GB 55003-2021</w:t>
            </w:r>
            <w:r>
              <w:rPr>
                <w:rFonts w:hint="eastAsia" w:ascii="仿宋" w:hAnsi="仿宋" w:eastAsia="仿宋" w:cs="仿宋"/>
                <w:color w:val="auto"/>
                <w:sz w:val="24"/>
              </w:rPr>
              <w:t>；</w:t>
            </w:r>
          </w:p>
          <w:p w14:paraId="4C2E8FA9">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②</w:t>
            </w:r>
            <w:r>
              <w:rPr>
                <w:rFonts w:ascii="仿宋" w:hAnsi="仿宋" w:eastAsia="仿宋" w:cs="仿宋"/>
                <w:color w:val="auto"/>
                <w:sz w:val="24"/>
              </w:rPr>
              <w:t>《建筑与市政工程抗震通用规范》GB 55002-2021</w:t>
            </w:r>
            <w:r>
              <w:rPr>
                <w:rFonts w:hint="eastAsia" w:ascii="仿宋" w:hAnsi="仿宋" w:eastAsia="仿宋" w:cs="仿宋"/>
                <w:color w:val="auto"/>
                <w:sz w:val="24"/>
              </w:rPr>
              <w:t>；</w:t>
            </w:r>
          </w:p>
          <w:p w14:paraId="75C0208C">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③《建筑边坡工程技术规范》GB 50330-2013；</w:t>
            </w:r>
          </w:p>
          <w:p w14:paraId="79285F1F">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④《岩土工程勘察规范》GB 50021-2001（2009年版）；</w:t>
            </w:r>
          </w:p>
          <w:p w14:paraId="1CD61FA0">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⑤《土工试验方法标准》GB/T 50123-2019；</w:t>
            </w:r>
          </w:p>
          <w:p w14:paraId="5D87FE3C">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⑥《工程岩体试验方法标准》GB</w:t>
            </w:r>
            <w:bookmarkStart w:id="7" w:name="OLE_LINK8"/>
            <w:r>
              <w:rPr>
                <w:rFonts w:hint="eastAsia" w:ascii="仿宋" w:hAnsi="仿宋" w:eastAsia="仿宋" w:cs="仿宋"/>
                <w:color w:val="auto"/>
                <w:sz w:val="24"/>
              </w:rPr>
              <w:t>/T</w:t>
            </w:r>
            <w:bookmarkEnd w:id="7"/>
            <w:r>
              <w:rPr>
                <w:rFonts w:hint="eastAsia" w:ascii="仿宋" w:hAnsi="仿宋" w:eastAsia="仿宋" w:cs="仿宋"/>
                <w:color w:val="auto"/>
                <w:sz w:val="24"/>
              </w:rPr>
              <w:t xml:space="preserve"> 50266-2013；</w:t>
            </w:r>
          </w:p>
          <w:p w14:paraId="6FB1935B">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⑦《混凝土结构设计标准》GB/T 50010-2011</w:t>
            </w:r>
            <w:bookmarkStart w:id="8" w:name="OLE_LINK15"/>
            <w:r>
              <w:rPr>
                <w:rFonts w:hint="eastAsia" w:ascii="仿宋" w:hAnsi="仿宋" w:eastAsia="仿宋" w:cs="仿宋"/>
                <w:color w:val="auto"/>
                <w:sz w:val="24"/>
              </w:rPr>
              <w:t>（</w:t>
            </w:r>
            <w:bookmarkEnd w:id="8"/>
            <w:r>
              <w:rPr>
                <w:rFonts w:hint="eastAsia" w:ascii="仿宋" w:hAnsi="仿宋" w:eastAsia="仿宋" w:cs="仿宋"/>
                <w:color w:val="auto"/>
                <w:sz w:val="24"/>
              </w:rPr>
              <w:t>2024年版）；</w:t>
            </w:r>
          </w:p>
          <w:p w14:paraId="31C1EB4E">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⑧《建筑抗震设计标准》GB/T 50011-2010（2024年版）；</w:t>
            </w:r>
          </w:p>
          <w:p w14:paraId="1700270E">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⑨</w:t>
            </w:r>
            <w:r>
              <w:rPr>
                <w:rFonts w:ascii="仿宋" w:hAnsi="仿宋" w:eastAsia="仿宋" w:cs="仿宋"/>
                <w:color w:val="auto"/>
                <w:sz w:val="24"/>
              </w:rPr>
              <w:t>《建筑边坡工程施工质量验收标准》GB/T 51351-2019</w:t>
            </w:r>
            <w:r>
              <w:rPr>
                <w:rFonts w:hint="eastAsia" w:ascii="仿宋" w:hAnsi="仿宋" w:eastAsia="仿宋" w:cs="仿宋"/>
                <w:color w:val="auto"/>
                <w:sz w:val="24"/>
              </w:rPr>
              <w:t>；</w:t>
            </w:r>
          </w:p>
          <w:p w14:paraId="2BA717A2">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⑩《混凝土结构工程施工质量验收规范》GB 50204-2015； </w:t>
            </w:r>
          </w:p>
          <w:p w14:paraId="444262BD">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ascii="Cambria Math" w:hAnsi="Cambria Math" w:eastAsia="仿宋" w:cs="Cambria Math"/>
                <w:color w:val="auto"/>
                <w:sz w:val="24"/>
              </w:rPr>
              <w:t>⑪</w:t>
            </w:r>
            <w:r>
              <w:rPr>
                <w:rFonts w:hint="eastAsia" w:ascii="仿宋" w:hAnsi="仿宋" w:eastAsia="仿宋" w:cs="仿宋"/>
                <w:color w:val="auto"/>
                <w:sz w:val="24"/>
              </w:rPr>
              <w:t xml:space="preserve">《建筑边坡工程鉴定与加固技术规范》GB 50843-2013； </w:t>
            </w:r>
          </w:p>
          <w:p w14:paraId="41D2D20A">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ascii="Cambria Math" w:hAnsi="Cambria Math" w:eastAsia="仿宋" w:cs="Cambria Math"/>
                <w:color w:val="auto"/>
                <w:sz w:val="24"/>
              </w:rPr>
              <w:t>⑫</w:t>
            </w:r>
            <w:r>
              <w:rPr>
                <w:rFonts w:hint="eastAsia" w:ascii="仿宋" w:hAnsi="仿宋" w:eastAsia="仿宋" w:cs="仿宋"/>
                <w:color w:val="auto"/>
                <w:sz w:val="24"/>
              </w:rPr>
              <w:t xml:space="preserve">《建筑地基基础设计规范》GB 50007-2012； </w:t>
            </w:r>
          </w:p>
          <w:p w14:paraId="32E9FC11">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ascii="Cambria Math" w:hAnsi="Cambria Math" w:eastAsia="仿宋" w:cs="Cambria Math"/>
                <w:color w:val="auto"/>
                <w:sz w:val="24"/>
              </w:rPr>
              <w:t>⑬</w:t>
            </w:r>
            <w:r>
              <w:rPr>
                <w:rFonts w:hint="eastAsia" w:ascii="仿宋" w:hAnsi="仿宋" w:eastAsia="仿宋" w:cs="仿宋"/>
                <w:color w:val="auto"/>
                <w:sz w:val="24"/>
              </w:rPr>
              <w:t>《建筑与市政地基基础技术标准》DBJ/T 13-07-2021；</w:t>
            </w:r>
          </w:p>
          <w:p w14:paraId="719E4263">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ascii="Cambria Math" w:hAnsi="Cambria Math" w:eastAsia="仿宋" w:cs="Cambria Math"/>
                <w:color w:val="auto"/>
                <w:sz w:val="24"/>
              </w:rPr>
              <w:t>⑭</w:t>
            </w:r>
            <w:r>
              <w:rPr>
                <w:rFonts w:hint="eastAsia" w:ascii="仿宋" w:hAnsi="仿宋" w:eastAsia="仿宋" w:cs="仿宋"/>
                <w:color w:val="auto"/>
                <w:sz w:val="24"/>
              </w:rPr>
              <w:t>《城市测量规范》</w:t>
            </w:r>
            <w:r>
              <w:rPr>
                <w:rFonts w:ascii="仿宋" w:hAnsi="仿宋" w:eastAsia="仿宋" w:cs="仿宋"/>
                <w:color w:val="auto"/>
                <w:sz w:val="24"/>
              </w:rPr>
              <w:t>CJJ/T</w:t>
            </w:r>
            <w:r>
              <w:rPr>
                <w:rFonts w:hint="eastAsia" w:ascii="仿宋" w:hAnsi="仿宋" w:eastAsia="仿宋" w:cs="仿宋"/>
                <w:color w:val="auto"/>
                <w:sz w:val="24"/>
              </w:rPr>
              <w:t xml:space="preserve"> </w:t>
            </w:r>
            <w:r>
              <w:rPr>
                <w:rFonts w:ascii="仿宋" w:hAnsi="仿宋" w:eastAsia="仿宋" w:cs="仿宋"/>
                <w:color w:val="auto"/>
                <w:sz w:val="24"/>
              </w:rPr>
              <w:t>8-2011</w:t>
            </w:r>
            <w:r>
              <w:rPr>
                <w:rFonts w:hint="eastAsia" w:ascii="仿宋" w:hAnsi="仿宋" w:eastAsia="仿宋" w:cs="仿宋"/>
                <w:color w:val="auto"/>
                <w:sz w:val="24"/>
              </w:rPr>
              <w:t>；</w:t>
            </w:r>
          </w:p>
          <w:p w14:paraId="5F65C048">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ascii="Cambria Math" w:hAnsi="Cambria Math" w:eastAsia="仿宋" w:cs="Cambria Math"/>
                <w:color w:val="auto"/>
                <w:sz w:val="24"/>
              </w:rPr>
              <w:t>⑮</w:t>
            </w:r>
            <w:r>
              <w:rPr>
                <w:rFonts w:hint="eastAsia" w:ascii="仿宋" w:hAnsi="仿宋" w:eastAsia="仿宋" w:cs="仿宋"/>
                <w:color w:val="auto"/>
                <w:sz w:val="24"/>
              </w:rPr>
              <w:t>《建筑变形测量规范》</w:t>
            </w:r>
            <w:r>
              <w:rPr>
                <w:rFonts w:ascii="仿宋" w:hAnsi="仿宋" w:eastAsia="仿宋" w:cs="仿宋"/>
                <w:color w:val="auto"/>
                <w:sz w:val="24"/>
              </w:rPr>
              <w:t>JGJ</w:t>
            </w:r>
            <w:r>
              <w:rPr>
                <w:rFonts w:hint="eastAsia" w:ascii="仿宋" w:hAnsi="仿宋" w:eastAsia="仿宋" w:cs="仿宋"/>
                <w:color w:val="auto"/>
                <w:sz w:val="24"/>
              </w:rPr>
              <w:t xml:space="preserve"> </w:t>
            </w:r>
            <w:r>
              <w:rPr>
                <w:rFonts w:ascii="仿宋" w:hAnsi="仿宋" w:eastAsia="仿宋" w:cs="仿宋"/>
                <w:color w:val="auto"/>
                <w:sz w:val="24"/>
              </w:rPr>
              <w:t>8-2016</w:t>
            </w:r>
            <w:r>
              <w:rPr>
                <w:rFonts w:hint="eastAsia" w:ascii="仿宋" w:hAnsi="仿宋" w:eastAsia="仿宋" w:cs="仿宋"/>
                <w:color w:val="auto"/>
                <w:sz w:val="24"/>
              </w:rPr>
              <w:t>；</w:t>
            </w:r>
          </w:p>
          <w:p w14:paraId="5D8E6EC9">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ascii="Cambria Math" w:hAnsi="Cambria Math" w:eastAsia="仿宋" w:cs="Cambria Math"/>
                <w:color w:val="auto"/>
                <w:sz w:val="24"/>
              </w:rPr>
              <w:t>⑯</w:t>
            </w:r>
            <w:r>
              <w:rPr>
                <w:rFonts w:hint="eastAsia" w:ascii="仿宋" w:hAnsi="仿宋" w:eastAsia="仿宋" w:cs="仿宋"/>
                <w:color w:val="auto"/>
                <w:sz w:val="24"/>
              </w:rPr>
              <w:t>《建筑边坡工程监测与检测技术规程》</w:t>
            </w:r>
            <w:r>
              <w:rPr>
                <w:rFonts w:ascii="仿宋" w:hAnsi="仿宋" w:eastAsia="仿宋" w:cs="仿宋"/>
                <w:color w:val="auto"/>
                <w:sz w:val="24"/>
              </w:rPr>
              <w:t>DBJ/T 13-282-2018</w:t>
            </w:r>
            <w:r>
              <w:rPr>
                <w:rFonts w:hint="eastAsia" w:ascii="仿宋" w:hAnsi="仿宋" w:eastAsia="仿宋" w:cs="仿宋"/>
                <w:color w:val="auto"/>
                <w:sz w:val="24"/>
              </w:rPr>
              <w:t>；</w:t>
            </w:r>
          </w:p>
          <w:p w14:paraId="3C3CECB0">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ascii="Cambria Math" w:hAnsi="Cambria Math" w:eastAsia="仿宋" w:cs="Cambria Math"/>
                <w:color w:val="auto"/>
                <w:sz w:val="24"/>
              </w:rPr>
              <w:t>⑰</w:t>
            </w:r>
            <w:r>
              <w:rPr>
                <w:rFonts w:hint="eastAsia" w:ascii="仿宋" w:hAnsi="仿宋" w:eastAsia="仿宋" w:cs="仿宋"/>
                <w:color w:val="auto"/>
                <w:sz w:val="24"/>
              </w:rPr>
              <w:t>其他相关标准及规范；</w:t>
            </w:r>
          </w:p>
          <w:p w14:paraId="0850E359">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6、技术服务工作成果的验收标准：满足有关规范、规程；</w:t>
            </w:r>
          </w:p>
          <w:p w14:paraId="222E84C8">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7、技术服务工作成果的验收方法：提供岩土工程勘察报告和</w:t>
            </w:r>
            <w:bookmarkStart w:id="9" w:name="OLE_LINK13"/>
            <w:r>
              <w:rPr>
                <w:rFonts w:hint="eastAsia" w:ascii="仿宋" w:hAnsi="仿宋" w:eastAsia="仿宋" w:cs="仿宋"/>
                <w:color w:val="auto"/>
                <w:sz w:val="24"/>
              </w:rPr>
              <w:t>挡墙加固设计施工图</w:t>
            </w:r>
            <w:bookmarkEnd w:id="9"/>
            <w:r>
              <w:rPr>
                <w:rFonts w:hint="eastAsia" w:ascii="仿宋" w:hAnsi="仿宋" w:eastAsia="仿宋" w:cs="仿宋"/>
                <w:color w:val="auto"/>
                <w:sz w:val="24"/>
              </w:rPr>
              <w:t>；</w:t>
            </w:r>
          </w:p>
          <w:p w14:paraId="6DA8B004">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8、技术服务质量要求：应严格按照相关技术规范进行岩土工程勘察工作，</w:t>
            </w:r>
            <w:r>
              <w:rPr>
                <w:rFonts w:ascii="仿宋" w:hAnsi="仿宋" w:eastAsia="仿宋" w:cs="仿宋"/>
                <w:color w:val="auto"/>
                <w:sz w:val="24"/>
              </w:rPr>
              <w:t>勘察技术深度需满足设计要求</w:t>
            </w:r>
            <w:r>
              <w:rPr>
                <w:rFonts w:hint="eastAsia" w:ascii="仿宋" w:hAnsi="仿宋" w:eastAsia="仿宋" w:cs="仿宋"/>
                <w:color w:val="auto"/>
                <w:sz w:val="24"/>
              </w:rPr>
              <w:t>；挡墙加固设计方案通过专家论证，施工图图审（若有）合格。</w:t>
            </w:r>
          </w:p>
          <w:p w14:paraId="7E250F77">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9.其他要求：</w:t>
            </w:r>
          </w:p>
          <w:p w14:paraId="7B756E9A">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9.1成交供应商需组建专业勘察、设计团队，并科学、合理地规划勘察、设计进度。</w:t>
            </w:r>
          </w:p>
          <w:p w14:paraId="6321128A">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w:t>
            </w:r>
            <w:bookmarkStart w:id="10" w:name="OLE_LINK12"/>
            <w:r>
              <w:rPr>
                <w:rFonts w:hint="eastAsia" w:ascii="仿宋" w:hAnsi="仿宋" w:eastAsia="仿宋" w:cs="仿宋"/>
                <w:color w:val="auto"/>
                <w:sz w:val="24"/>
              </w:rPr>
              <w:t>成交供应商应</w:t>
            </w:r>
            <w:bookmarkEnd w:id="10"/>
            <w:r>
              <w:rPr>
                <w:rFonts w:hint="eastAsia" w:ascii="仿宋" w:hAnsi="仿宋" w:eastAsia="仿宋" w:cs="仿宋"/>
                <w:color w:val="auto"/>
                <w:sz w:val="24"/>
              </w:rPr>
              <w:t>确保勘察工作的安全性，并承担一切责任。</w:t>
            </w:r>
          </w:p>
          <w:p w14:paraId="6088711B">
            <w:pPr>
              <w:adjustRightInd w:val="0"/>
              <w:snapToGrid w:val="0"/>
              <w:spacing w:before="93" w:beforeLines="30" w:after="93" w:afterLines="30"/>
              <w:ind w:firstLine="480" w:firstLineChars="200"/>
              <w:jc w:val="left"/>
              <w:rPr>
                <w:rFonts w:ascii="仿宋" w:hAnsi="仿宋" w:eastAsia="仿宋" w:cs="仿宋"/>
                <w:color w:val="auto"/>
                <w:sz w:val="24"/>
              </w:rPr>
            </w:pPr>
            <w:r>
              <w:rPr>
                <w:rFonts w:hint="eastAsia" w:ascii="仿宋" w:hAnsi="仿宋" w:eastAsia="仿宋" w:cs="仿宋"/>
                <w:color w:val="auto"/>
                <w:sz w:val="24"/>
              </w:rPr>
              <w:t>9.3成交供应商应配合</w:t>
            </w:r>
            <w:r>
              <w:rPr>
                <w:rFonts w:ascii="仿宋" w:hAnsi="仿宋" w:eastAsia="仿宋" w:cs="仿宋"/>
                <w:color w:val="auto"/>
                <w:sz w:val="24"/>
              </w:rPr>
              <w:t>采购人</w:t>
            </w:r>
            <w:r>
              <w:rPr>
                <w:rFonts w:hint="eastAsia" w:ascii="仿宋" w:hAnsi="仿宋" w:eastAsia="仿宋" w:cs="仿宋"/>
                <w:color w:val="auto"/>
                <w:sz w:val="24"/>
              </w:rPr>
              <w:t>进行施工图图审</w:t>
            </w:r>
            <w:bookmarkStart w:id="11" w:name="OLE_LINK14"/>
            <w:r>
              <w:rPr>
                <w:rFonts w:hint="eastAsia" w:ascii="仿宋" w:hAnsi="仿宋" w:eastAsia="仿宋" w:cs="仿宋"/>
                <w:color w:val="auto"/>
                <w:sz w:val="24"/>
              </w:rPr>
              <w:t>（若有）</w:t>
            </w:r>
            <w:bookmarkEnd w:id="11"/>
            <w:r>
              <w:rPr>
                <w:rFonts w:hint="eastAsia" w:ascii="仿宋" w:hAnsi="仿宋" w:eastAsia="仿宋" w:cs="仿宋"/>
                <w:color w:val="auto"/>
                <w:sz w:val="24"/>
              </w:rPr>
              <w:t>工作。</w:t>
            </w:r>
          </w:p>
          <w:p w14:paraId="06D11712">
            <w:pPr>
              <w:adjustRightInd w:val="0"/>
              <w:snapToGrid w:val="0"/>
              <w:spacing w:before="93" w:beforeLines="30" w:after="93" w:afterLines="3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9.4成交供应商</w:t>
            </w:r>
            <w:r>
              <w:rPr>
                <w:rFonts w:ascii="仿宋" w:hAnsi="仿宋" w:eastAsia="仿宋" w:cs="仿宋"/>
                <w:color w:val="auto"/>
                <w:sz w:val="24"/>
              </w:rPr>
              <w:t>提交的设计文件应当符合国家有关设计文件编制规定及其他设计标准、规范、规程和办法等的要求</w:t>
            </w:r>
            <w:r>
              <w:rPr>
                <w:rFonts w:hint="eastAsia" w:ascii="仿宋" w:hAnsi="仿宋" w:eastAsia="仿宋" w:cs="仿宋"/>
                <w:color w:val="auto"/>
                <w:sz w:val="24"/>
              </w:rPr>
              <w:t>。</w:t>
            </w:r>
          </w:p>
          <w:p w14:paraId="1675B91E">
            <w:pPr>
              <w:adjustRightInd w:val="0"/>
              <w:snapToGrid w:val="0"/>
              <w:spacing w:before="93" w:beforeLines="30" w:after="93" w:afterLines="30"/>
              <w:ind w:firstLine="480" w:firstLineChars="200"/>
              <w:jc w:val="left"/>
              <w:rPr>
                <w:rFonts w:hint="eastAsia" w:ascii="仿宋" w:hAnsi="仿宋" w:eastAsia="仿宋" w:cs="仿宋"/>
                <w:color w:val="auto"/>
                <w:sz w:val="24"/>
              </w:rPr>
            </w:pPr>
          </w:p>
        </w:tc>
      </w:tr>
    </w:tbl>
    <w:p w14:paraId="6920F003">
      <w:pPr>
        <w:ind w:firstLine="964" w:firstLineChars="400"/>
        <w:rPr>
          <w:rFonts w:hint="eastAsia" w:ascii="仿宋" w:hAnsi="仿宋" w:eastAsia="仿宋" w:cs="仿宋"/>
          <w:color w:val="auto"/>
          <w:sz w:val="24"/>
        </w:rPr>
      </w:pPr>
      <w:r>
        <w:rPr>
          <w:rFonts w:hint="eastAsia" w:ascii="仿宋" w:hAnsi="仿宋" w:eastAsia="仿宋" w:cs="仿宋"/>
          <w:b/>
          <w:color w:val="auto"/>
          <w:sz w:val="24"/>
        </w:rPr>
        <w:t>四、商务条件</w:t>
      </w:r>
    </w:p>
    <w:tbl>
      <w:tblPr>
        <w:tblStyle w:val="6"/>
        <w:tblW w:w="8364"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07"/>
        <w:gridCol w:w="1253"/>
        <w:gridCol w:w="1665"/>
        <w:gridCol w:w="4639"/>
      </w:tblGrid>
      <w:tr w14:paraId="13A9F3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807" w:type="dxa"/>
            <w:vAlign w:val="center"/>
          </w:tcPr>
          <w:p w14:paraId="56229392">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序号</w:t>
            </w:r>
          </w:p>
        </w:tc>
        <w:tc>
          <w:tcPr>
            <w:tcW w:w="1253" w:type="dxa"/>
            <w:vAlign w:val="center"/>
          </w:tcPr>
          <w:p w14:paraId="07841E5C">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参数性质</w:t>
            </w:r>
          </w:p>
        </w:tc>
        <w:tc>
          <w:tcPr>
            <w:tcW w:w="1665" w:type="dxa"/>
            <w:vAlign w:val="center"/>
          </w:tcPr>
          <w:p w14:paraId="728D6C7C">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类型</w:t>
            </w:r>
          </w:p>
        </w:tc>
        <w:tc>
          <w:tcPr>
            <w:tcW w:w="4639" w:type="dxa"/>
            <w:vAlign w:val="center"/>
          </w:tcPr>
          <w:p w14:paraId="3687D2AC">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要求</w:t>
            </w:r>
          </w:p>
        </w:tc>
      </w:tr>
      <w:tr w14:paraId="30F7AA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807" w:type="dxa"/>
            <w:vAlign w:val="center"/>
          </w:tcPr>
          <w:p w14:paraId="79F3B3C9">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1</w:t>
            </w:r>
          </w:p>
        </w:tc>
        <w:tc>
          <w:tcPr>
            <w:tcW w:w="1253" w:type="dxa"/>
            <w:vAlign w:val="center"/>
          </w:tcPr>
          <w:p w14:paraId="1545197D">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w:t>
            </w:r>
          </w:p>
        </w:tc>
        <w:tc>
          <w:tcPr>
            <w:tcW w:w="1665" w:type="dxa"/>
            <w:vAlign w:val="center"/>
          </w:tcPr>
          <w:p w14:paraId="16EF8071">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交付时间</w:t>
            </w:r>
          </w:p>
        </w:tc>
        <w:tc>
          <w:tcPr>
            <w:tcW w:w="4639" w:type="dxa"/>
            <w:vAlign w:val="center"/>
          </w:tcPr>
          <w:p w14:paraId="7D1F3315">
            <w:pPr>
              <w:pStyle w:val="10"/>
              <w:adjustRightInd w:val="0"/>
              <w:snapToGrid w:val="0"/>
              <w:jc w:val="both"/>
              <w:rPr>
                <w:rFonts w:ascii="仿宋" w:hAnsi="仿宋" w:eastAsia="仿宋" w:cs="仿宋"/>
                <w:color w:val="auto"/>
                <w:sz w:val="24"/>
                <w:szCs w:val="24"/>
                <w:lang w:eastAsia="zh-CN"/>
              </w:rPr>
            </w:pPr>
            <w:r>
              <w:rPr>
                <w:rFonts w:ascii="仿宋" w:hAnsi="仿宋" w:eastAsia="仿宋" w:cs="仿宋"/>
                <w:color w:val="auto"/>
                <w:sz w:val="24"/>
                <w:szCs w:val="24"/>
              </w:rPr>
              <w:t>自合同签订之日起</w:t>
            </w:r>
            <w:r>
              <w:rPr>
                <w:rFonts w:ascii="仿宋" w:hAnsi="仿宋" w:eastAsia="仿宋" w:cs="仿宋"/>
                <w:color w:val="auto"/>
                <w:sz w:val="24"/>
                <w:szCs w:val="24"/>
                <w:lang w:eastAsia="zh-CN"/>
              </w:rPr>
              <w:t>30天。</w:t>
            </w:r>
          </w:p>
        </w:tc>
      </w:tr>
      <w:tr w14:paraId="7B98D0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807" w:type="dxa"/>
            <w:vAlign w:val="center"/>
          </w:tcPr>
          <w:p w14:paraId="2846BDC8">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2</w:t>
            </w:r>
          </w:p>
        </w:tc>
        <w:tc>
          <w:tcPr>
            <w:tcW w:w="1253" w:type="dxa"/>
            <w:vAlign w:val="center"/>
          </w:tcPr>
          <w:p w14:paraId="3CEB7CEB">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w:t>
            </w:r>
          </w:p>
        </w:tc>
        <w:tc>
          <w:tcPr>
            <w:tcW w:w="1665" w:type="dxa"/>
            <w:vAlign w:val="center"/>
          </w:tcPr>
          <w:p w14:paraId="3124265A">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交付地点</w:t>
            </w:r>
          </w:p>
        </w:tc>
        <w:tc>
          <w:tcPr>
            <w:tcW w:w="4639" w:type="dxa"/>
            <w:vAlign w:val="center"/>
          </w:tcPr>
          <w:p w14:paraId="52E02283">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采购人指定地点。</w:t>
            </w:r>
          </w:p>
        </w:tc>
      </w:tr>
      <w:tr w14:paraId="13FB45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807" w:type="dxa"/>
            <w:vAlign w:val="center"/>
          </w:tcPr>
          <w:p w14:paraId="30943665">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3</w:t>
            </w:r>
          </w:p>
        </w:tc>
        <w:tc>
          <w:tcPr>
            <w:tcW w:w="1253" w:type="dxa"/>
            <w:vAlign w:val="center"/>
          </w:tcPr>
          <w:p w14:paraId="40F784F4">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w:t>
            </w:r>
          </w:p>
        </w:tc>
        <w:tc>
          <w:tcPr>
            <w:tcW w:w="1665" w:type="dxa"/>
            <w:vAlign w:val="center"/>
          </w:tcPr>
          <w:p w14:paraId="72B44A52">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交付条件</w:t>
            </w:r>
          </w:p>
        </w:tc>
        <w:tc>
          <w:tcPr>
            <w:tcW w:w="4639" w:type="dxa"/>
            <w:vAlign w:val="center"/>
          </w:tcPr>
          <w:p w14:paraId="09942926">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lang w:eastAsia="zh-CN"/>
              </w:rPr>
              <w:t>验收合格。</w:t>
            </w:r>
          </w:p>
        </w:tc>
      </w:tr>
      <w:tr w14:paraId="455171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807" w:type="dxa"/>
            <w:vAlign w:val="center"/>
          </w:tcPr>
          <w:p w14:paraId="29B6C555">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4</w:t>
            </w:r>
          </w:p>
        </w:tc>
        <w:tc>
          <w:tcPr>
            <w:tcW w:w="1253" w:type="dxa"/>
            <w:vAlign w:val="center"/>
          </w:tcPr>
          <w:p w14:paraId="63BD09BF">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w:t>
            </w:r>
          </w:p>
        </w:tc>
        <w:tc>
          <w:tcPr>
            <w:tcW w:w="1665" w:type="dxa"/>
            <w:vAlign w:val="center"/>
          </w:tcPr>
          <w:p w14:paraId="662BC33E">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是否邀请投标人验收</w:t>
            </w:r>
          </w:p>
        </w:tc>
        <w:tc>
          <w:tcPr>
            <w:tcW w:w="4639" w:type="dxa"/>
            <w:vAlign w:val="center"/>
          </w:tcPr>
          <w:p w14:paraId="37EE2014">
            <w:pPr>
              <w:pStyle w:val="10"/>
              <w:adjustRightInd w:val="0"/>
              <w:snapToGrid w:val="0"/>
              <w:jc w:val="both"/>
              <w:rPr>
                <w:rFonts w:ascii="仿宋" w:hAnsi="仿宋" w:eastAsia="仿宋" w:cs="仿宋"/>
                <w:color w:val="auto"/>
                <w:sz w:val="24"/>
                <w:szCs w:val="24"/>
                <w:lang w:eastAsia="zh-CN"/>
              </w:rPr>
            </w:pPr>
            <w:r>
              <w:rPr>
                <w:rFonts w:ascii="仿宋" w:hAnsi="仿宋" w:eastAsia="仿宋" w:cs="仿宋"/>
                <w:color w:val="auto"/>
                <w:sz w:val="24"/>
                <w:szCs w:val="24"/>
              </w:rPr>
              <w:t>不邀请投标人验收</w:t>
            </w:r>
          </w:p>
        </w:tc>
      </w:tr>
      <w:tr w14:paraId="4754F0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807" w:type="dxa"/>
            <w:vAlign w:val="center"/>
          </w:tcPr>
          <w:p w14:paraId="606C4051">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5</w:t>
            </w:r>
          </w:p>
        </w:tc>
        <w:tc>
          <w:tcPr>
            <w:tcW w:w="1253" w:type="dxa"/>
            <w:vAlign w:val="center"/>
          </w:tcPr>
          <w:p w14:paraId="33EC4FC6">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w:t>
            </w:r>
          </w:p>
        </w:tc>
        <w:tc>
          <w:tcPr>
            <w:tcW w:w="1665" w:type="dxa"/>
            <w:vAlign w:val="center"/>
          </w:tcPr>
          <w:p w14:paraId="0BBD2B6F">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履约验收方式</w:t>
            </w:r>
          </w:p>
        </w:tc>
        <w:tc>
          <w:tcPr>
            <w:tcW w:w="4639" w:type="dxa"/>
            <w:vAlign w:val="center"/>
          </w:tcPr>
          <w:p w14:paraId="73380641">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按采购人验收考核标准、</w:t>
            </w:r>
            <w:r>
              <w:rPr>
                <w:rFonts w:ascii="仿宋" w:hAnsi="仿宋" w:eastAsia="仿宋" w:cs="仿宋"/>
                <w:color w:val="auto"/>
                <w:sz w:val="24"/>
                <w:szCs w:val="24"/>
                <w:lang w:eastAsia="zh-CN"/>
              </w:rPr>
              <w:t>采购</w:t>
            </w:r>
            <w:r>
              <w:rPr>
                <w:rFonts w:ascii="仿宋" w:hAnsi="仿宋" w:eastAsia="仿宋" w:cs="仿宋"/>
                <w:color w:val="auto"/>
                <w:sz w:val="24"/>
                <w:szCs w:val="24"/>
              </w:rPr>
              <w:t>文件、响应文件等有关内容进行验收。验收考核结果应符合采购人要求。</w:t>
            </w:r>
          </w:p>
        </w:tc>
      </w:tr>
      <w:tr w14:paraId="7A353B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807" w:type="dxa"/>
            <w:vAlign w:val="center"/>
          </w:tcPr>
          <w:p w14:paraId="20887B6F">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6</w:t>
            </w:r>
          </w:p>
        </w:tc>
        <w:tc>
          <w:tcPr>
            <w:tcW w:w="1253" w:type="dxa"/>
            <w:vAlign w:val="center"/>
          </w:tcPr>
          <w:p w14:paraId="2EF40AB8">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w:t>
            </w:r>
          </w:p>
        </w:tc>
        <w:tc>
          <w:tcPr>
            <w:tcW w:w="1665" w:type="dxa"/>
            <w:vAlign w:val="center"/>
          </w:tcPr>
          <w:p w14:paraId="634C13ED">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合同支付方式</w:t>
            </w:r>
          </w:p>
        </w:tc>
        <w:tc>
          <w:tcPr>
            <w:tcW w:w="4639" w:type="dxa"/>
            <w:vAlign w:val="center"/>
          </w:tcPr>
          <w:p w14:paraId="0FB73F79">
            <w:pPr>
              <w:pStyle w:val="10"/>
              <w:adjustRightInd w:val="0"/>
              <w:snapToGrid w:val="0"/>
              <w:rPr>
                <w:rFonts w:ascii="仿宋" w:hAnsi="仿宋" w:eastAsia="仿宋" w:cs="仿宋"/>
                <w:color w:val="auto"/>
                <w:sz w:val="24"/>
                <w:szCs w:val="24"/>
                <w:lang w:eastAsia="zh-CN"/>
              </w:rPr>
            </w:pPr>
            <w:r>
              <w:rPr>
                <w:rFonts w:ascii="仿宋" w:hAnsi="仿宋" w:eastAsia="仿宋" w:cs="仿宋"/>
                <w:color w:val="auto"/>
                <w:sz w:val="24"/>
                <w:szCs w:val="24"/>
                <w:lang w:eastAsia="zh-CN"/>
              </w:rPr>
              <w:t>1、勘察费用：</w:t>
            </w:r>
          </w:p>
          <w:p w14:paraId="31AA9557">
            <w:pPr>
              <w:pStyle w:val="10"/>
              <w:adjustRightInd w:val="0"/>
              <w:snapToGrid w:val="0"/>
              <w:rPr>
                <w:rFonts w:ascii="仿宋" w:hAnsi="仿宋" w:eastAsia="仿宋" w:cs="仿宋"/>
                <w:color w:val="auto"/>
                <w:sz w:val="24"/>
                <w:szCs w:val="24"/>
                <w:lang w:eastAsia="zh-CN"/>
              </w:rPr>
            </w:pPr>
            <w:bookmarkStart w:id="12" w:name="OLE_LINK1"/>
            <w:r>
              <w:rPr>
                <w:rFonts w:ascii="仿宋" w:hAnsi="仿宋" w:eastAsia="仿宋" w:cs="仿宋"/>
                <w:color w:val="auto"/>
                <w:sz w:val="24"/>
                <w:szCs w:val="24"/>
                <w:lang w:eastAsia="zh-CN"/>
              </w:rPr>
              <w:t>（1）</w:t>
            </w:r>
            <w:r>
              <w:rPr>
                <w:rFonts w:ascii="仿宋" w:hAnsi="仿宋" w:eastAsia="仿宋" w:cs="仿宋"/>
                <w:color w:val="auto"/>
                <w:sz w:val="24"/>
                <w:szCs w:val="24"/>
              </w:rPr>
              <w:t>合同签订后，采购人于15日内支付合同勘察费用总金额</w:t>
            </w:r>
            <w:r>
              <w:rPr>
                <w:rFonts w:ascii="仿宋" w:hAnsi="仿宋" w:eastAsia="仿宋" w:cs="仿宋"/>
                <w:color w:val="auto"/>
                <w:sz w:val="24"/>
                <w:szCs w:val="24"/>
                <w:lang w:eastAsia="zh-CN"/>
              </w:rPr>
              <w:t>6</w:t>
            </w:r>
            <w:r>
              <w:rPr>
                <w:rFonts w:ascii="仿宋" w:hAnsi="仿宋" w:eastAsia="仿宋" w:cs="仿宋"/>
                <w:color w:val="auto"/>
                <w:sz w:val="24"/>
                <w:szCs w:val="24"/>
              </w:rPr>
              <w:t>0%的预付款；</w:t>
            </w:r>
          </w:p>
          <w:p w14:paraId="1A73E686">
            <w:pPr>
              <w:pStyle w:val="10"/>
              <w:adjustRightInd w:val="0"/>
              <w:snapToGrid w:val="0"/>
              <w:jc w:val="both"/>
              <w:rPr>
                <w:rFonts w:ascii="仿宋" w:hAnsi="仿宋" w:eastAsia="仿宋" w:cs="仿宋"/>
                <w:color w:val="auto"/>
                <w:sz w:val="24"/>
                <w:szCs w:val="24"/>
                <w:lang w:eastAsia="zh-CN"/>
              </w:rPr>
            </w:pPr>
            <w:r>
              <w:rPr>
                <w:rFonts w:ascii="仿宋" w:hAnsi="仿宋" w:eastAsia="仿宋" w:cs="仿宋"/>
                <w:color w:val="auto"/>
                <w:sz w:val="24"/>
                <w:szCs w:val="24"/>
                <w:lang w:eastAsia="zh-CN"/>
              </w:rPr>
              <w:t>（2）出具正式勘察报告</w:t>
            </w:r>
            <w:r>
              <w:rPr>
                <w:rFonts w:ascii="仿宋" w:hAnsi="仿宋" w:eastAsia="仿宋" w:cs="仿宋"/>
                <w:color w:val="auto"/>
                <w:sz w:val="24"/>
                <w:szCs w:val="24"/>
              </w:rPr>
              <w:t>，采购人于15日内支付合同勘察费用总金额</w:t>
            </w:r>
            <w:r>
              <w:rPr>
                <w:rFonts w:ascii="仿宋" w:hAnsi="仿宋" w:eastAsia="仿宋" w:cs="仿宋"/>
                <w:color w:val="auto"/>
                <w:sz w:val="24"/>
                <w:szCs w:val="24"/>
                <w:lang w:eastAsia="zh-CN"/>
              </w:rPr>
              <w:t>4</w:t>
            </w:r>
            <w:r>
              <w:rPr>
                <w:rFonts w:ascii="仿宋" w:hAnsi="仿宋" w:eastAsia="仿宋" w:cs="仿宋"/>
                <w:color w:val="auto"/>
                <w:sz w:val="24"/>
                <w:szCs w:val="24"/>
              </w:rPr>
              <w:t>0%。</w:t>
            </w:r>
            <w:bookmarkEnd w:id="12"/>
          </w:p>
          <w:p w14:paraId="722AB984">
            <w:pPr>
              <w:pStyle w:val="10"/>
              <w:adjustRightInd w:val="0"/>
              <w:snapToGrid w:val="0"/>
              <w:jc w:val="both"/>
              <w:rPr>
                <w:rFonts w:ascii="仿宋" w:hAnsi="仿宋" w:eastAsia="仿宋" w:cs="仿宋"/>
                <w:color w:val="auto"/>
                <w:sz w:val="24"/>
                <w:szCs w:val="24"/>
                <w:lang w:eastAsia="zh-CN"/>
              </w:rPr>
            </w:pPr>
            <w:r>
              <w:rPr>
                <w:rFonts w:ascii="仿宋" w:hAnsi="仿宋" w:eastAsia="仿宋" w:cs="仿宋"/>
                <w:color w:val="auto"/>
                <w:sz w:val="24"/>
                <w:szCs w:val="24"/>
                <w:lang w:eastAsia="zh-CN"/>
              </w:rPr>
              <w:t>2、</w:t>
            </w:r>
            <w:bookmarkStart w:id="13" w:name="OLE_LINK7"/>
            <w:r>
              <w:rPr>
                <w:rFonts w:ascii="仿宋" w:hAnsi="仿宋" w:eastAsia="仿宋" w:cs="仿宋"/>
                <w:color w:val="auto"/>
                <w:sz w:val="24"/>
                <w:szCs w:val="24"/>
                <w:lang w:eastAsia="zh-CN"/>
              </w:rPr>
              <w:t>设计费用</w:t>
            </w:r>
            <w:bookmarkEnd w:id="13"/>
            <w:r>
              <w:rPr>
                <w:rFonts w:ascii="仿宋" w:hAnsi="仿宋" w:eastAsia="仿宋" w:cs="仿宋"/>
                <w:color w:val="auto"/>
                <w:sz w:val="24"/>
                <w:szCs w:val="24"/>
                <w:lang w:eastAsia="zh-CN"/>
              </w:rPr>
              <w:t>（含专家论证费）：</w:t>
            </w:r>
          </w:p>
          <w:p w14:paraId="4D781BE7">
            <w:pPr>
              <w:pStyle w:val="10"/>
              <w:adjustRightInd w:val="0"/>
              <w:snapToGrid w:val="0"/>
              <w:rPr>
                <w:rFonts w:ascii="仿宋" w:hAnsi="仿宋" w:eastAsia="仿宋" w:cs="仿宋"/>
                <w:color w:val="auto"/>
                <w:sz w:val="24"/>
                <w:szCs w:val="24"/>
                <w:lang w:eastAsia="zh-CN"/>
              </w:rPr>
            </w:pPr>
            <w:r>
              <w:rPr>
                <w:rFonts w:ascii="仿宋" w:hAnsi="仿宋" w:eastAsia="仿宋" w:cs="仿宋"/>
                <w:color w:val="auto"/>
                <w:sz w:val="24"/>
                <w:szCs w:val="24"/>
                <w:lang w:eastAsia="zh-CN"/>
              </w:rPr>
              <w:t>（1）</w:t>
            </w:r>
            <w:r>
              <w:rPr>
                <w:rFonts w:ascii="仿宋" w:hAnsi="仿宋" w:eastAsia="仿宋" w:cs="仿宋"/>
                <w:color w:val="auto"/>
                <w:sz w:val="24"/>
                <w:szCs w:val="24"/>
              </w:rPr>
              <w:t>合同签订后，采购人于15日内支付合同设计费用总金额</w:t>
            </w:r>
            <w:r>
              <w:rPr>
                <w:rFonts w:ascii="仿宋" w:hAnsi="仿宋" w:eastAsia="仿宋" w:cs="仿宋"/>
                <w:color w:val="auto"/>
                <w:sz w:val="24"/>
                <w:szCs w:val="24"/>
                <w:lang w:eastAsia="zh-CN"/>
              </w:rPr>
              <w:t>6</w:t>
            </w:r>
            <w:r>
              <w:rPr>
                <w:rFonts w:ascii="仿宋" w:hAnsi="仿宋" w:eastAsia="仿宋" w:cs="仿宋"/>
                <w:color w:val="auto"/>
                <w:sz w:val="24"/>
                <w:szCs w:val="24"/>
              </w:rPr>
              <w:t>0%的预付款；</w:t>
            </w:r>
          </w:p>
          <w:p w14:paraId="5AB72D88">
            <w:pPr>
              <w:pStyle w:val="10"/>
              <w:adjustRightInd w:val="0"/>
              <w:snapToGrid w:val="0"/>
              <w:jc w:val="both"/>
              <w:rPr>
                <w:rFonts w:ascii="仿宋" w:hAnsi="仿宋" w:eastAsia="仿宋" w:cs="仿宋"/>
                <w:color w:val="auto"/>
                <w:sz w:val="24"/>
                <w:szCs w:val="24"/>
                <w:lang w:eastAsia="zh-CN"/>
              </w:rPr>
            </w:pPr>
            <w:r>
              <w:rPr>
                <w:rFonts w:ascii="仿宋" w:hAnsi="仿宋" w:eastAsia="仿宋" w:cs="仿宋"/>
                <w:color w:val="auto"/>
                <w:sz w:val="24"/>
                <w:szCs w:val="24"/>
                <w:lang w:eastAsia="zh-CN"/>
              </w:rPr>
              <w:t>（2）加固设计方案通过专家论证，</w:t>
            </w:r>
            <w:r>
              <w:rPr>
                <w:rFonts w:ascii="仿宋" w:hAnsi="仿宋" w:eastAsia="仿宋" w:cs="仿宋"/>
                <w:color w:val="auto"/>
                <w:sz w:val="24"/>
                <w:szCs w:val="24"/>
              </w:rPr>
              <w:t>采购人于15日内支付合同总金额</w:t>
            </w:r>
            <w:r>
              <w:rPr>
                <w:rFonts w:ascii="仿宋" w:hAnsi="仿宋" w:eastAsia="仿宋" w:cs="仿宋"/>
                <w:color w:val="auto"/>
                <w:sz w:val="24"/>
                <w:szCs w:val="24"/>
                <w:lang w:eastAsia="zh-CN"/>
              </w:rPr>
              <w:t>2</w:t>
            </w:r>
            <w:r>
              <w:rPr>
                <w:rFonts w:ascii="仿宋" w:hAnsi="仿宋" w:eastAsia="仿宋" w:cs="仿宋"/>
                <w:color w:val="auto"/>
                <w:sz w:val="24"/>
                <w:szCs w:val="24"/>
              </w:rPr>
              <w:t>0%；</w:t>
            </w:r>
          </w:p>
          <w:p w14:paraId="6B6676E0">
            <w:pPr>
              <w:pStyle w:val="10"/>
              <w:adjustRightInd w:val="0"/>
              <w:snapToGrid w:val="0"/>
              <w:jc w:val="both"/>
              <w:rPr>
                <w:rFonts w:ascii="仿宋" w:hAnsi="仿宋" w:eastAsia="仿宋" w:cs="仿宋"/>
                <w:color w:val="auto"/>
                <w:sz w:val="24"/>
                <w:szCs w:val="24"/>
                <w:lang w:eastAsia="zh-CN"/>
              </w:rPr>
            </w:pPr>
            <w:r>
              <w:rPr>
                <w:rFonts w:ascii="仿宋" w:hAnsi="仿宋" w:eastAsia="仿宋" w:cs="仿宋"/>
                <w:color w:val="auto"/>
                <w:sz w:val="24"/>
                <w:szCs w:val="24"/>
                <w:lang w:eastAsia="zh-CN"/>
              </w:rPr>
              <w:t>（3）出具正式</w:t>
            </w:r>
            <w:bookmarkStart w:id="14" w:name="OLE_LINK2"/>
            <w:r>
              <w:rPr>
                <w:rFonts w:ascii="仿宋" w:hAnsi="仿宋" w:eastAsia="仿宋" w:cs="仿宋"/>
                <w:color w:val="auto"/>
                <w:sz w:val="24"/>
                <w:szCs w:val="24"/>
                <w:lang w:eastAsia="zh-CN"/>
              </w:rPr>
              <w:t>加固设计施工图</w:t>
            </w:r>
            <w:bookmarkEnd w:id="14"/>
            <w:r>
              <w:rPr>
                <w:rFonts w:ascii="仿宋" w:hAnsi="仿宋" w:eastAsia="仿宋" w:cs="仿宋"/>
                <w:color w:val="auto"/>
                <w:sz w:val="24"/>
                <w:szCs w:val="24"/>
              </w:rPr>
              <w:t>，</w:t>
            </w:r>
            <w:bookmarkStart w:id="15" w:name="OLE_LINK10"/>
            <w:bookmarkStart w:id="16" w:name="OLE_LINK11"/>
            <w:r>
              <w:rPr>
                <w:rFonts w:ascii="仿宋" w:hAnsi="仿宋" w:eastAsia="仿宋" w:cs="仿宋"/>
                <w:color w:val="auto"/>
                <w:sz w:val="24"/>
                <w:szCs w:val="24"/>
              </w:rPr>
              <w:t>采购人</w:t>
            </w:r>
            <w:bookmarkEnd w:id="15"/>
            <w:r>
              <w:rPr>
                <w:rFonts w:ascii="仿宋" w:hAnsi="仿宋" w:eastAsia="仿宋" w:cs="仿宋"/>
                <w:color w:val="auto"/>
                <w:sz w:val="24"/>
                <w:szCs w:val="24"/>
              </w:rPr>
              <w:t>于15日内支付合同总金额</w:t>
            </w:r>
            <w:r>
              <w:rPr>
                <w:rFonts w:ascii="仿宋" w:hAnsi="仿宋" w:eastAsia="仿宋" w:cs="仿宋"/>
                <w:color w:val="auto"/>
                <w:sz w:val="24"/>
                <w:szCs w:val="24"/>
                <w:lang w:eastAsia="zh-CN"/>
              </w:rPr>
              <w:t>2</w:t>
            </w:r>
            <w:r>
              <w:rPr>
                <w:rFonts w:ascii="仿宋" w:hAnsi="仿宋" w:eastAsia="仿宋" w:cs="仿宋"/>
                <w:color w:val="auto"/>
                <w:sz w:val="24"/>
                <w:szCs w:val="24"/>
              </w:rPr>
              <w:t>0%。</w:t>
            </w:r>
            <w:bookmarkEnd w:id="16"/>
          </w:p>
          <w:p w14:paraId="78A55831">
            <w:pPr>
              <w:pStyle w:val="10"/>
              <w:adjustRightInd w:val="0"/>
              <w:snapToGrid w:val="0"/>
              <w:jc w:val="both"/>
              <w:rPr>
                <w:rFonts w:ascii="仿宋" w:hAnsi="仿宋" w:eastAsia="仿宋" w:cs="仿宋"/>
                <w:color w:val="auto"/>
                <w:sz w:val="24"/>
                <w:szCs w:val="24"/>
                <w:lang w:eastAsia="zh-CN"/>
              </w:rPr>
            </w:pPr>
            <w:r>
              <w:rPr>
                <w:rFonts w:ascii="仿宋" w:hAnsi="仿宋" w:eastAsia="仿宋" w:cs="仿宋"/>
                <w:color w:val="auto"/>
                <w:sz w:val="24"/>
                <w:szCs w:val="24"/>
                <w:lang w:eastAsia="zh-CN"/>
              </w:rPr>
              <w:t>注：1、</w:t>
            </w:r>
            <w:r>
              <w:rPr>
                <w:rFonts w:ascii="仿宋" w:hAnsi="仿宋" w:eastAsia="仿宋" w:cs="仿宋"/>
                <w:color w:val="auto"/>
                <w:sz w:val="24"/>
                <w:szCs w:val="24"/>
              </w:rPr>
              <w:t>采购人付款前，</w:t>
            </w:r>
            <w:bookmarkStart w:id="17" w:name="OLE_LINK9"/>
            <w:r>
              <w:rPr>
                <w:rFonts w:ascii="仿宋" w:hAnsi="仿宋" w:eastAsia="仿宋" w:cs="仿宋"/>
                <w:color w:val="auto"/>
                <w:sz w:val="24"/>
                <w:szCs w:val="24"/>
              </w:rPr>
              <w:t>成交人</w:t>
            </w:r>
            <w:bookmarkEnd w:id="17"/>
            <w:r>
              <w:rPr>
                <w:rFonts w:ascii="仿宋" w:hAnsi="仿宋" w:eastAsia="仿宋" w:cs="仿宋"/>
                <w:color w:val="auto"/>
                <w:sz w:val="24"/>
                <w:szCs w:val="24"/>
              </w:rPr>
              <w:t>需提供</w:t>
            </w:r>
            <w:r>
              <w:rPr>
                <w:rFonts w:ascii="仿宋" w:hAnsi="仿宋" w:eastAsia="仿宋" w:cs="仿宋"/>
                <w:color w:val="auto"/>
                <w:sz w:val="24"/>
                <w:szCs w:val="24"/>
                <w:lang w:eastAsia="zh-CN"/>
              </w:rPr>
              <w:t>等额增值税普通发票。2、若本项目进行施工图图审，审查费用由采购人支付。</w:t>
            </w:r>
          </w:p>
        </w:tc>
      </w:tr>
      <w:tr w14:paraId="666BD2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807" w:type="dxa"/>
            <w:vAlign w:val="center"/>
          </w:tcPr>
          <w:p w14:paraId="673D2B49">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7</w:t>
            </w:r>
          </w:p>
        </w:tc>
        <w:tc>
          <w:tcPr>
            <w:tcW w:w="1253" w:type="dxa"/>
            <w:vAlign w:val="center"/>
          </w:tcPr>
          <w:p w14:paraId="30B27858">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w:t>
            </w:r>
          </w:p>
        </w:tc>
        <w:tc>
          <w:tcPr>
            <w:tcW w:w="1665" w:type="dxa"/>
            <w:vAlign w:val="center"/>
          </w:tcPr>
          <w:p w14:paraId="49BFA63A">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履约保证金</w:t>
            </w:r>
          </w:p>
        </w:tc>
        <w:tc>
          <w:tcPr>
            <w:tcW w:w="4639" w:type="dxa"/>
            <w:vAlign w:val="center"/>
          </w:tcPr>
          <w:p w14:paraId="5858EC3D">
            <w:pPr>
              <w:pStyle w:val="10"/>
              <w:adjustRightInd w:val="0"/>
              <w:snapToGrid w:val="0"/>
              <w:jc w:val="both"/>
              <w:rPr>
                <w:rFonts w:ascii="仿宋" w:hAnsi="仿宋" w:eastAsia="仿宋" w:cs="仿宋"/>
                <w:color w:val="auto"/>
                <w:sz w:val="24"/>
                <w:szCs w:val="24"/>
              </w:rPr>
            </w:pPr>
            <w:r>
              <w:rPr>
                <w:rFonts w:ascii="仿宋" w:hAnsi="仿宋" w:eastAsia="仿宋" w:cs="仿宋"/>
                <w:color w:val="auto"/>
                <w:sz w:val="24"/>
                <w:szCs w:val="24"/>
              </w:rPr>
              <w:t>无</w:t>
            </w:r>
          </w:p>
        </w:tc>
      </w:tr>
    </w:tbl>
    <w:p w14:paraId="5188989B">
      <w:pPr>
        <w:ind w:firstLine="480" w:firstLineChars="200"/>
        <w:rPr>
          <w:rFonts w:hint="eastAsia" w:ascii="仿宋" w:hAnsi="仿宋" w:eastAsia="仿宋" w:cs="仿宋"/>
          <w:sz w:val="24"/>
        </w:rPr>
      </w:pPr>
      <w:r>
        <w:rPr>
          <w:rFonts w:hint="eastAsia" w:ascii="仿宋" w:hAnsi="仿宋" w:eastAsia="仿宋" w:cs="仿宋"/>
          <w:sz w:val="24"/>
        </w:rPr>
        <w:t>其他商务要求</w:t>
      </w:r>
    </w:p>
    <w:p w14:paraId="00535478">
      <w:pPr>
        <w:ind w:firstLine="480" w:firstLineChars="200"/>
        <w:rPr>
          <w:rFonts w:hint="eastAsia" w:ascii="仿宋" w:hAnsi="仿宋" w:eastAsia="仿宋" w:cs="仿宋"/>
          <w:sz w:val="24"/>
        </w:rPr>
      </w:pPr>
      <w:r>
        <w:rPr>
          <w:rFonts w:hint="eastAsia" w:ascii="仿宋" w:hAnsi="仿宋" w:eastAsia="仿宋" w:cs="仿宋"/>
          <w:sz w:val="24"/>
        </w:rPr>
        <w:t>8.报价要求</w:t>
      </w:r>
    </w:p>
    <w:p w14:paraId="17DC3120">
      <w:pPr>
        <w:ind w:firstLine="480" w:firstLineChars="200"/>
        <w:rPr>
          <w:rFonts w:hint="eastAsia" w:ascii="仿宋" w:hAnsi="仿宋" w:eastAsia="仿宋" w:cs="仿宋"/>
          <w:sz w:val="24"/>
        </w:rPr>
      </w:pPr>
      <w:r>
        <w:rPr>
          <w:rFonts w:hint="eastAsia" w:ascii="仿宋" w:hAnsi="仿宋" w:eastAsia="仿宋" w:cs="仿宋"/>
          <w:sz w:val="24"/>
        </w:rPr>
        <w:t>8.1投标人应充分考虑项目实施期间各种市场风险和国家政策性调整风险。在合同实施期间，其合同价格不受市场价格及政策性价格的调整而</w:t>
      </w:r>
      <w:bookmarkStart w:id="19" w:name="_GoBack"/>
      <w:bookmarkEnd w:id="19"/>
      <w:r>
        <w:rPr>
          <w:rFonts w:hint="eastAsia" w:ascii="仿宋" w:hAnsi="仿宋" w:eastAsia="仿宋" w:cs="仿宋"/>
          <w:sz w:val="24"/>
        </w:rPr>
        <w:t>增减，同时投标人应充分考虑可能出现的其他风险,并在本次的报价中自行考虑。</w:t>
      </w:r>
    </w:p>
    <w:p w14:paraId="5B3A0D84">
      <w:pPr>
        <w:ind w:firstLine="480" w:firstLineChars="200"/>
        <w:rPr>
          <w:rFonts w:hint="eastAsia" w:ascii="仿宋" w:hAnsi="仿宋" w:eastAsia="仿宋" w:cs="仿宋"/>
          <w:sz w:val="24"/>
        </w:rPr>
      </w:pPr>
      <w:r>
        <w:rPr>
          <w:rFonts w:hint="eastAsia" w:ascii="仿宋" w:hAnsi="仿宋" w:eastAsia="仿宋" w:cs="仿宋"/>
          <w:sz w:val="24"/>
        </w:rPr>
        <w:t>8.2本项目为总价包干，投标报价应包含招标文件要求范围内的所涉及的有关项目的所有费用，包括：服务、税金等一切相关费用。</w:t>
      </w:r>
    </w:p>
    <w:p w14:paraId="64B43D37">
      <w:pPr>
        <w:ind w:firstLine="480" w:firstLineChars="200"/>
        <w:rPr>
          <w:rFonts w:hint="eastAsia" w:ascii="仿宋" w:hAnsi="仿宋" w:eastAsia="仿宋" w:cs="仿宋"/>
          <w:sz w:val="24"/>
        </w:rPr>
      </w:pPr>
      <w:r>
        <w:rPr>
          <w:rFonts w:hint="eastAsia" w:ascii="仿宋" w:hAnsi="仿宋" w:eastAsia="仿宋" w:cs="仿宋"/>
          <w:sz w:val="24"/>
        </w:rPr>
        <w:t>9.违约责任</w:t>
      </w:r>
    </w:p>
    <w:p w14:paraId="719D54E6">
      <w:pPr>
        <w:ind w:firstLine="480" w:firstLineChars="200"/>
        <w:rPr>
          <w:rFonts w:hint="eastAsia" w:ascii="仿宋" w:hAnsi="仿宋" w:eastAsia="仿宋" w:cs="仿宋"/>
          <w:sz w:val="24"/>
        </w:rPr>
      </w:pPr>
      <w:r>
        <w:rPr>
          <w:rFonts w:hint="eastAsia" w:ascii="仿宋" w:hAnsi="仿宋" w:eastAsia="仿宋" w:cs="仿宋"/>
          <w:sz w:val="24"/>
        </w:rPr>
        <w:t>9.1因成交人原因造成采购合同无法按时签订，视为成交人违约，成交人须支付成交金额的1%赔偿金。</w:t>
      </w:r>
    </w:p>
    <w:p w14:paraId="3BCEE74D">
      <w:pPr>
        <w:ind w:firstLine="480" w:firstLineChars="200"/>
        <w:rPr>
          <w:rFonts w:hint="eastAsia" w:ascii="仿宋" w:hAnsi="仿宋" w:eastAsia="仿宋" w:cs="仿宋"/>
          <w:sz w:val="24"/>
        </w:rPr>
      </w:pPr>
      <w:r>
        <w:rPr>
          <w:rFonts w:hint="eastAsia" w:ascii="仿宋" w:hAnsi="仿宋" w:eastAsia="仿宋" w:cs="仿宋"/>
          <w:sz w:val="24"/>
        </w:rPr>
        <w:t>9.2在签订采购合同之后，成交人要求解除合同的，视为成交人违约，成交人须支付成交金额的1%赔偿金。</w:t>
      </w:r>
    </w:p>
    <w:p w14:paraId="0B8C569C">
      <w:pPr>
        <w:ind w:firstLine="480" w:firstLineChars="200"/>
        <w:rPr>
          <w:rFonts w:hint="eastAsia" w:ascii="仿宋" w:hAnsi="仿宋" w:eastAsia="仿宋" w:cs="仿宋"/>
          <w:sz w:val="24"/>
        </w:rPr>
      </w:pPr>
      <w:r>
        <w:rPr>
          <w:rFonts w:hint="eastAsia" w:ascii="仿宋" w:hAnsi="仿宋" w:eastAsia="仿宋" w:cs="仿宋"/>
          <w:sz w:val="24"/>
        </w:rPr>
        <w:t>9.3供应商成交后，如果不按规定与采购人签订合同或者签订合同后不履行其投标承诺或者其它由于成交人自身原因造成</w:t>
      </w:r>
      <w:bookmarkStart w:id="18" w:name="_Hlk181057380"/>
      <w:r>
        <w:rPr>
          <w:rFonts w:hint="eastAsia" w:ascii="仿宋" w:hAnsi="仿宋" w:eastAsia="仿宋" w:cs="仿宋"/>
          <w:sz w:val="24"/>
        </w:rPr>
        <w:t>无法履行合同</w:t>
      </w:r>
      <w:bookmarkEnd w:id="18"/>
      <w:r>
        <w:rPr>
          <w:rFonts w:hint="eastAsia" w:ascii="仿宋" w:hAnsi="仿宋" w:eastAsia="仿宋" w:cs="仿宋"/>
          <w:sz w:val="24"/>
        </w:rPr>
        <w:t>的，均视为成交人违约，采购人将取消其成交资格，如果已经签订合同的则合同自动解除，且成交人要承担相应的责任。成交人须支付成交金额的1%赔偿金。</w:t>
      </w:r>
    </w:p>
    <w:p w14:paraId="21E345C9">
      <w:pPr>
        <w:ind w:firstLine="480" w:firstLineChars="200"/>
        <w:rPr>
          <w:rFonts w:hint="eastAsia" w:ascii="仿宋" w:hAnsi="仿宋" w:eastAsia="仿宋" w:cs="仿宋"/>
          <w:sz w:val="24"/>
        </w:rPr>
      </w:pPr>
      <w:r>
        <w:rPr>
          <w:rFonts w:hint="eastAsia" w:ascii="仿宋" w:hAnsi="仿宋" w:eastAsia="仿宋" w:cs="仿宋"/>
          <w:sz w:val="24"/>
        </w:rPr>
        <w:t>9.4如果成交人未能按合同规定的时间按时提供服务的（不可抗力或采购人另行要求除外），在成交人提出书面申请延期时，采购人有权选择同意延期还是不予延期。若采购人同意延期的，延期交付的时间由双方另行协商确定，同时，采购人有权从未付的合同价款中扣除延期交付的违约金，延期交付违约金比率为每迟交一天按合同价款的0.</w:t>
      </w:r>
      <w:r>
        <w:rPr>
          <w:rFonts w:hint="eastAsia" w:ascii="仿宋" w:hAnsi="仿宋" w:eastAsia="仿宋" w:cs="仿宋"/>
          <w:bCs/>
          <w:sz w:val="24"/>
        </w:rPr>
        <w:t>1‰</w:t>
      </w:r>
      <w:r>
        <w:rPr>
          <w:rFonts w:hint="eastAsia" w:ascii="仿宋" w:hAnsi="仿宋" w:eastAsia="仿宋" w:cs="仿宋"/>
          <w:sz w:val="24"/>
        </w:rPr>
        <w:t>收取，延期交付违约金的支付总额不超过合同金额的1%。如果成交人达到最大延期交付违约金，采购人有权终止合同，而成交人仍有义务支付上述款项。</w:t>
      </w:r>
    </w:p>
    <w:p w14:paraId="26F902D1">
      <w:pPr>
        <w:ind w:firstLine="480" w:firstLineChars="200"/>
        <w:rPr>
          <w:rFonts w:hint="eastAsia" w:ascii="仿宋" w:hAnsi="仿宋" w:eastAsia="仿宋" w:cs="仿宋"/>
          <w:sz w:val="24"/>
        </w:rPr>
      </w:pPr>
      <w:r>
        <w:rPr>
          <w:rFonts w:hint="eastAsia" w:ascii="仿宋" w:hAnsi="仿宋" w:eastAsia="仿宋" w:cs="仿宋"/>
          <w:sz w:val="24"/>
        </w:rPr>
        <w:t>9.5成交人提供服务不合格的，应当负责无条件免费采取挽救，直至合格为止，否则视为成交人违约，采购人可解除合同，并要求成交人支付合同总额1%的违约金。</w:t>
      </w:r>
    </w:p>
    <w:p w14:paraId="39EDDAC0">
      <w:pPr>
        <w:ind w:firstLine="480" w:firstLineChars="200"/>
        <w:rPr>
          <w:rFonts w:hint="eastAsia" w:ascii="仿宋" w:hAnsi="仿宋" w:eastAsia="仿宋" w:cs="仿宋"/>
          <w:sz w:val="24"/>
        </w:rPr>
      </w:pPr>
      <w:r>
        <w:rPr>
          <w:rFonts w:hint="eastAsia" w:ascii="仿宋" w:hAnsi="仿宋" w:eastAsia="仿宋" w:cs="仿宋"/>
          <w:sz w:val="24"/>
        </w:rPr>
        <w:t>9.6因成交人原因发生重大服务质量事故，除依约承担赔偿责任外，还将按有关质量管理办法规定执行。同时，采购人有权保留更换成交人的权利。</w:t>
      </w:r>
    </w:p>
    <w:p w14:paraId="74EDD4E2">
      <w:pPr>
        <w:ind w:firstLine="480" w:firstLineChars="200"/>
        <w:rPr>
          <w:rFonts w:hint="eastAsia" w:ascii="仿宋" w:hAnsi="仿宋" w:eastAsia="仿宋" w:cs="仿宋"/>
          <w:bCs/>
          <w:sz w:val="24"/>
        </w:rPr>
      </w:pPr>
      <w:r>
        <w:rPr>
          <w:rFonts w:hint="eastAsia" w:ascii="仿宋" w:hAnsi="仿宋" w:eastAsia="仿宋" w:cs="仿宋"/>
          <w:sz w:val="24"/>
        </w:rPr>
        <w:t>9.7若发生伤亡安全事故，除按国家有关安全管理规定及采购人有关安全管理办法执行外，并报相关行政主管部门处罚；发生重大安全事故或特大安全事故，除按国家有关安全管理规定及采购人有关安全管理办法执行外，采购人保留更换成交人的权利，给采购人造成的损失，还应承担赔偿责任。</w:t>
      </w:r>
    </w:p>
    <w:p w14:paraId="7F0DCAC5">
      <w:pPr>
        <w:pStyle w:val="10"/>
        <w:adjustRightInd w:val="0"/>
        <w:snapToGrid w:val="0"/>
        <w:ind w:firstLine="482" w:firstLineChars="200"/>
        <w:rPr>
          <w:rFonts w:ascii="仿宋" w:hAnsi="仿宋" w:eastAsia="仿宋" w:cs="仿宋"/>
          <w:sz w:val="24"/>
          <w:szCs w:val="24"/>
        </w:rPr>
      </w:pPr>
      <w:r>
        <w:rPr>
          <w:rFonts w:ascii="仿宋" w:hAnsi="仿宋" w:eastAsia="仿宋" w:cs="仿宋"/>
          <w:b/>
          <w:sz w:val="24"/>
          <w:szCs w:val="24"/>
          <w:lang w:eastAsia="zh-CN"/>
        </w:rPr>
        <w:t>五</w:t>
      </w:r>
      <w:r>
        <w:rPr>
          <w:rFonts w:ascii="仿宋" w:hAnsi="仿宋" w:eastAsia="仿宋" w:cs="仿宋"/>
          <w:b/>
          <w:sz w:val="24"/>
          <w:szCs w:val="24"/>
        </w:rPr>
        <w:t>、其他事项</w:t>
      </w:r>
    </w:p>
    <w:p w14:paraId="4F28D436">
      <w:pPr>
        <w:ind w:firstLine="480" w:firstLineChars="200"/>
        <w:rPr>
          <w:rFonts w:hint="eastAsia" w:ascii="仿宋" w:hAnsi="仿宋" w:eastAsia="仿宋" w:cs="仿宋"/>
          <w:sz w:val="24"/>
        </w:rPr>
      </w:pPr>
      <w:r>
        <w:rPr>
          <w:rFonts w:hint="eastAsia" w:ascii="仿宋" w:hAnsi="仿宋" w:eastAsia="仿宋" w:cs="仿宋"/>
          <w:sz w:val="24"/>
        </w:rPr>
        <w:t>1.除招标文件另有规定外，若出现有关法律、法规和规章有强制性规定但招标文件未列明的情形，则投标人应按照有关法律、法规和规章强制性规定执行。</w:t>
      </w:r>
    </w:p>
    <w:p w14:paraId="6C620424">
      <w:pPr>
        <w:ind w:firstLine="480" w:firstLineChars="200"/>
        <w:rPr>
          <w:rFonts w:hint="eastAsia" w:ascii="仿宋" w:hAnsi="仿宋" w:eastAsia="仿宋" w:cs="仿宋"/>
          <w:sz w:val="24"/>
        </w:rPr>
      </w:pPr>
      <w:r>
        <w:rPr>
          <w:rFonts w:hint="eastAsia" w:ascii="仿宋" w:hAnsi="仿宋" w:eastAsia="仿宋" w:cs="仿宋"/>
          <w:sz w:val="24"/>
        </w:rPr>
        <w:t>2.其他：</w:t>
      </w:r>
    </w:p>
    <w:p w14:paraId="0745C1D5">
      <w:pPr>
        <w:ind w:firstLine="480" w:firstLineChars="200"/>
        <w:rPr>
          <w:rFonts w:hint="eastAsia" w:ascii="仿宋" w:hAnsi="仿宋" w:eastAsia="仿宋" w:cs="仿宋"/>
          <w:sz w:val="24"/>
        </w:rPr>
      </w:pPr>
      <w:r>
        <w:rPr>
          <w:rFonts w:hint="eastAsia" w:ascii="仿宋" w:hAnsi="仿宋" w:eastAsia="仿宋" w:cs="仿宋"/>
          <w:sz w:val="24"/>
        </w:rPr>
        <w:t>（1）本项目不允许成交人以任何名义和理由进行转包，如有发现，采购人有权单方终止合同，视为成交人违约；成交人违约对采购人造成损失的，需另行支付相应的赔偿。</w:t>
      </w:r>
    </w:p>
    <w:p w14:paraId="1A29B976">
      <w:pPr>
        <w:ind w:firstLine="480" w:firstLineChars="200"/>
        <w:rPr>
          <w:rFonts w:hint="eastAsia" w:ascii="仿宋" w:hAnsi="仿宋" w:eastAsia="仿宋" w:cs="仿宋"/>
          <w:sz w:val="24"/>
        </w:rPr>
      </w:pPr>
      <w:r>
        <w:rPr>
          <w:rFonts w:hint="eastAsia" w:ascii="仿宋" w:hAnsi="仿宋" w:eastAsia="仿宋" w:cs="仿宋"/>
          <w:sz w:val="24"/>
        </w:rPr>
        <w:t>（2）本招标文件未明确的其它约定事项或条款，待采购人与成交人签订合同时，由双方协商订立</w:t>
      </w:r>
      <w:bookmarkEnd w:id="0"/>
      <w:bookmarkEnd w:id="1"/>
      <w:r>
        <w:rPr>
          <w:rFonts w:hint="eastAsia" w:ascii="仿宋" w:hAnsi="仿宋" w:eastAsia="仿宋" w:cs="仿宋"/>
          <w:sz w:val="24"/>
        </w:rPr>
        <w:t>。</w:t>
      </w:r>
    </w:p>
    <w:p w14:paraId="2D1D288C">
      <w:pPr>
        <w:rPr>
          <w:sz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65DEA575-B0E3-4687-A2D9-D50F504A372D}"/>
  </w:font>
  <w:font w:name="宋体">
    <w:panose1 w:val="02010600030101010101"/>
    <w:charset w:val="86"/>
    <w:family w:val="auto"/>
    <w:pitch w:val="default"/>
    <w:sig w:usb0="00000203" w:usb1="288F0000" w:usb2="00000006" w:usb3="00000000" w:csb0="00040001" w:csb1="00000000"/>
    <w:embedRegular r:id="rId2" w:fontKey="{DB6D0ECB-E24F-4756-BBB7-DEDC87DD2A26}"/>
  </w:font>
  <w:font w:name="Wingdings">
    <w:panose1 w:val="05000000000000000000"/>
    <w:charset w:val="02"/>
    <w:family w:val="auto"/>
    <w:pitch w:val="default"/>
    <w:sig w:usb0="00000000" w:usb1="00000000" w:usb2="00000000" w:usb3="00000000" w:csb0="80000000" w:csb1="00000000"/>
    <w:embedRegular r:id="rId3" w:fontKey="{96784708-FE47-4F7B-BF16-58414ACF7DDC}"/>
  </w:font>
  <w:font w:name="Arial">
    <w:panose1 w:val="020B0604020202020204"/>
    <w:charset w:val="01"/>
    <w:family w:val="swiss"/>
    <w:pitch w:val="default"/>
    <w:sig w:usb0="E0002EFF" w:usb1="C000785B" w:usb2="00000009" w:usb3="00000000" w:csb0="400001FF" w:csb1="FFFF0000"/>
    <w:embedRegular r:id="rId4" w:fontKey="{562B4990-2FCB-4FD8-99D5-CEE085760ED6}"/>
  </w:font>
  <w:font w:name="黑体">
    <w:panose1 w:val="02010609060101010101"/>
    <w:charset w:val="86"/>
    <w:family w:val="auto"/>
    <w:pitch w:val="default"/>
    <w:sig w:usb0="800002BF" w:usb1="38CF7CFA" w:usb2="00000016" w:usb3="00000000" w:csb0="00040001" w:csb1="00000000"/>
    <w:embedRegular r:id="rId5" w:fontKey="{808B6682-37FB-4596-AFBB-6392BBEF0ACA}"/>
  </w:font>
  <w:font w:name="Courier New">
    <w:panose1 w:val="02070309020205020404"/>
    <w:charset w:val="01"/>
    <w:family w:val="modern"/>
    <w:pitch w:val="default"/>
    <w:sig w:usb0="E0002EFF" w:usb1="C0007843" w:usb2="00000009" w:usb3="00000000" w:csb0="400001FF" w:csb1="FFFF0000"/>
    <w:embedRegular r:id="rId6" w:fontKey="{5028D20A-0918-4B49-9582-540B05743356}"/>
  </w:font>
  <w:font w:name="Symbol">
    <w:panose1 w:val="05050102010706020507"/>
    <w:charset w:val="02"/>
    <w:family w:val="roman"/>
    <w:pitch w:val="default"/>
    <w:sig w:usb0="00000000" w:usb1="00000000" w:usb2="00000000" w:usb3="00000000" w:csb0="80000000" w:csb1="00000000"/>
    <w:embedRegular r:id="rId7" w:fontKey="{397C5455-249B-4D24-9960-F0F54E0E30F1}"/>
  </w:font>
  <w:font w:name="Calibri">
    <w:panose1 w:val="020F0502020204030204"/>
    <w:charset w:val="00"/>
    <w:family w:val="swiss"/>
    <w:pitch w:val="default"/>
    <w:sig w:usb0="E4002EFF" w:usb1="C000247B" w:usb2="00000009" w:usb3="00000000" w:csb0="200001FF" w:csb1="00000000"/>
    <w:embedRegular r:id="rId8" w:fontKey="{1E632622-BA15-49BF-97F5-38537FA19791}"/>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53C595AD-F2A0-457C-8FC9-43778274A8C7}"/>
  </w:font>
  <w:font w:name="Cambria Math">
    <w:panose1 w:val="02040503050406030204"/>
    <w:charset w:val="00"/>
    <w:family w:val="roman"/>
    <w:pitch w:val="default"/>
    <w:sig w:usb0="E00006FF" w:usb1="420024FF" w:usb2="02000000" w:usb3="00000000" w:csb0="2000019F" w:csb1="00000000"/>
    <w:embedRegular r:id="rId10" w:fontKey="{493FB3BD-D55E-44D0-8BCF-2EAF5F73C2F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4B9"/>
    <w:rsid w:val="00042417"/>
    <w:rsid w:val="00052208"/>
    <w:rsid w:val="00063653"/>
    <w:rsid w:val="00164949"/>
    <w:rsid w:val="001B3101"/>
    <w:rsid w:val="001C1BAB"/>
    <w:rsid w:val="001C3D43"/>
    <w:rsid w:val="001D64B0"/>
    <w:rsid w:val="001E2E11"/>
    <w:rsid w:val="00227422"/>
    <w:rsid w:val="00235845"/>
    <w:rsid w:val="00274F2E"/>
    <w:rsid w:val="002D2B2E"/>
    <w:rsid w:val="002F2CF4"/>
    <w:rsid w:val="002F4EF9"/>
    <w:rsid w:val="0037059E"/>
    <w:rsid w:val="003A0E72"/>
    <w:rsid w:val="003B7167"/>
    <w:rsid w:val="003C7240"/>
    <w:rsid w:val="0043417A"/>
    <w:rsid w:val="004C0C80"/>
    <w:rsid w:val="004E2AE1"/>
    <w:rsid w:val="00597BE7"/>
    <w:rsid w:val="005A1E98"/>
    <w:rsid w:val="005A3E2D"/>
    <w:rsid w:val="005D7ACB"/>
    <w:rsid w:val="0063196E"/>
    <w:rsid w:val="00645157"/>
    <w:rsid w:val="006654D0"/>
    <w:rsid w:val="00687248"/>
    <w:rsid w:val="006C3B21"/>
    <w:rsid w:val="00710D8C"/>
    <w:rsid w:val="00724CB4"/>
    <w:rsid w:val="00747D54"/>
    <w:rsid w:val="007D2EFE"/>
    <w:rsid w:val="008279C8"/>
    <w:rsid w:val="00836B22"/>
    <w:rsid w:val="009744B9"/>
    <w:rsid w:val="009816F2"/>
    <w:rsid w:val="009B6B80"/>
    <w:rsid w:val="00A65422"/>
    <w:rsid w:val="00A74CF9"/>
    <w:rsid w:val="00B43A25"/>
    <w:rsid w:val="00B50F25"/>
    <w:rsid w:val="00BA52C1"/>
    <w:rsid w:val="00BB200E"/>
    <w:rsid w:val="00BE0218"/>
    <w:rsid w:val="00BE33F7"/>
    <w:rsid w:val="00C40F00"/>
    <w:rsid w:val="00C55940"/>
    <w:rsid w:val="00CC531B"/>
    <w:rsid w:val="00E1554B"/>
    <w:rsid w:val="00E55D4D"/>
    <w:rsid w:val="00EC0A02"/>
    <w:rsid w:val="00EF1E18"/>
    <w:rsid w:val="00F27AF3"/>
    <w:rsid w:val="00F27D98"/>
    <w:rsid w:val="00F338B0"/>
    <w:rsid w:val="00F61CD4"/>
    <w:rsid w:val="00F976A8"/>
    <w:rsid w:val="00FD32CA"/>
    <w:rsid w:val="00FF3499"/>
    <w:rsid w:val="095E1400"/>
    <w:rsid w:val="0F103540"/>
    <w:rsid w:val="30DE3328"/>
    <w:rsid w:val="37CF4928"/>
    <w:rsid w:val="3FC93825"/>
    <w:rsid w:val="48BE3619"/>
    <w:rsid w:val="609A2163"/>
    <w:rsid w:val="62315A86"/>
    <w:rsid w:val="69E24876"/>
    <w:rsid w:val="6BEC3E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pageBreakBefore/>
      <w:wordWrap w:val="0"/>
      <w:spacing w:after="50" w:afterLines="50"/>
      <w:jc w:val="center"/>
      <w:outlineLvl w:val="0"/>
    </w:pPr>
    <w:rPr>
      <w:rFonts w:ascii="宋体" w:hAnsi="宋体" w:eastAsia="宋体" w:cs="宋体"/>
      <w:b/>
      <w:kern w:val="44"/>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link w:val="11"/>
    <w:qFormat/>
    <w:uiPriority w:val="0"/>
    <w:pP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Default"/>
    <w:basedOn w:val="1"/>
    <w:qFormat/>
    <w:uiPriority w:val="0"/>
    <w:pPr>
      <w:autoSpaceDE w:val="0"/>
      <w:autoSpaceDN w:val="0"/>
    </w:pPr>
    <w:rPr>
      <w:rFonts w:ascii="仿宋_GB2312" w:hAnsi="仿宋_GB2312"/>
      <w:color w:val="000000"/>
      <w:kern w:val="0"/>
    </w:rPr>
  </w:style>
  <w:style w:type="paragraph" w:customStyle="1" w:styleId="10">
    <w:name w:val="null3"/>
    <w:hidden/>
    <w:qFormat/>
    <w:uiPriority w:val="0"/>
    <w:rPr>
      <w:rFonts w:hint="eastAsia" w:asciiTheme="minorHAnsi" w:hAnsiTheme="minorHAnsi" w:eastAsiaTheme="minorEastAsia" w:cstheme="minorBidi"/>
      <w:lang w:val="en-US" w:eastAsia="zh-Hans" w:bidi="ar-SA"/>
    </w:rPr>
  </w:style>
  <w:style w:type="character" w:customStyle="1" w:styleId="11">
    <w:name w:val="页眉 字符"/>
    <w:basedOn w:val="8"/>
    <w:link w:val="5"/>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d018dd59-976b-4f2a-a933-8da9e5d849d4</errorID>
      <errorWord>本</errorWord>
      <group>L1_AI</group>
      <groupName>深度校对</groupName>
      <ability>L2_AI_Grammar</ability>
      <abilityName>语法纠错</abilityName>
      <candidateList/>
      <explain/>
      <paraID>212D0304</paraID>
      <start>0</start>
      <end>1</end>
      <status>unmodified</status>
      <modifiedWord/>
      <trackRevisions>false</trackRevisions>
    </reviewItem>
    <reviewItem>
      <errorID>2221ada5-92c1-4489-ade3-354a7a7041ed</errorID>
      <errorWord>WiFi</errorWord>
      <group>L1_Punc</group>
      <groupName>标点问题</groupName>
      <ability>L2_Punc</ability>
      <abilityName>标点符号检查</abilityName>
      <candidateList>
        <item>Wi-Fi</item>
      </candidateList>
      <explain/>
      <paraID> 693AAAF</paraID>
      <start>192</start>
      <end>196</end>
      <status>unmodified</status>
      <modifiedWord/>
      <trackRevisions>false</trackRevisions>
    </reviewItem>
    <reviewItem>
      <errorID>e5df5a88-f8c1-4d20-980b-1cad41bcf1b0</errorID>
      <errorWord>20%-30%</errorWord>
      <group>L1_Knowledge</group>
      <groupName>知识性问题</groupName>
      <ability>L2_Knowledge</ability>
      <abilityName>其他知识</abilityName>
      <candidateList>
        <item>20%—30%</item>
      </candidateList>
      <explain>1. “20%-30%”中的单位“%”仅出现在后一个数字上，容易引起歧义；根据《现代汉语标点符号数字用法规范手册》，数字表示范围两边需要使用统一的格式。2. 根据标点国标 4.13 中的规则，数字、时间或地域连接符应使用（视觉上更长的）“—”或“～”。</explain>
      <paraID> 693AAAF</paraID>
      <start>408</start>
      <end>415</end>
      <status>unmodified</status>
      <modifiedWord/>
      <trackRevisions>false</trackRevisions>
    </reviewItem>
    <reviewItem>
      <errorID>18eb257e-ec21-4420-8aaf-f02010380505</errorID>
      <errorWord>:</errorWord>
      <group>L1_Format</group>
      <groupName>格式问题</groupName>
      <ability>L2_HalfPunc</ability>
      <abilityName>全半角检查</abilityName>
      <candidateList>
        <item>：</item>
      </candidateList>
      <explain>文本全半角错误。</explain>
      <paraID> 693AAAF</paraID>
      <start>472</start>
      <end>473</end>
      <status>unmodified</status>
      <modifiedWord/>
      <trackRevisions>false</trackRevisions>
    </reviewItem>
    <reviewItem>
      <errorID>a83baaf5-a981-490f-9927-c1f14c87e80d</errorID>
      <errorWord>:</errorWord>
      <group>L1_Format</group>
      <groupName>格式问题</groupName>
      <ability>L2_HalfPunc</ability>
      <abilityName>全半角检查</abilityName>
      <candidateList>
        <item>：</item>
      </candidateList>
      <explain>文本全半角错误。</explain>
      <paraID> 693AAAF</paraID>
      <start>532</start>
      <end>533</end>
      <status>unmodified</status>
      <modifiedWord/>
      <trackRevisions>false</trackRevisions>
    </reviewItem>
    <reviewItem>
      <errorID>febf18e8-afa9-4fe9-a5ec-839fa5434e01</errorID>
      <errorWord>(</errorWord>
      <group>L1_Format</group>
      <groupName>格式问题</groupName>
      <ability>L2_HalfPunc</ability>
      <abilityName>全半角检查</abilityName>
      <candidateList>
        <item>（</item>
      </candidateList>
      <explain>文本全半角错误。</explain>
      <paraID>4E155A8E</paraID>
      <start>4</start>
      <end>5</end>
      <status>unmodified</status>
      <modifiedWord/>
      <trackRevisions>false</trackRevisions>
    </reviewItem>
    <reviewItem>
      <errorID>936d793f-6c48-4971-8583-a4c49b231a8f</errorID>
      <errorWord>)</errorWord>
      <group>L1_Format</group>
      <groupName>格式问题</groupName>
      <ability>L2_HalfPunc</ability>
      <abilityName>全半角检查</abilityName>
      <candidateList>
        <item>）</item>
      </candidateList>
      <explain>文本全半角错误。</explain>
      <paraID>4E155A8E</paraID>
      <start>12</start>
      <end>13</end>
      <status>unmodified</status>
      <modifiedWord/>
      <trackRevisions>false</trackRevisions>
    </reviewItem>
    <reviewItem>
      <errorID>15798a4b-953f-4635-9976-c95c265d36d0</errorID>
      <errorWord>WiFi</errorWord>
      <group>L1_Punc</group>
      <groupName>标点问题</groupName>
      <ability>L2_Punc</ability>
      <abilityName>标点符号检查</abilityName>
      <candidateList>
        <item>Wi-Fi</item>
      </candidateList>
      <explain/>
      <paraID>51AEC423</paraID>
      <start>224</start>
      <end>228</end>
      <status>unmodified</status>
      <modifiedWord/>
      <trackRevisions>false</trackRevisions>
    </reviewItem>
    <reviewItem>
      <errorID>a0d798b2-cb74-43a6-9fea-f120a539ce95</errorID>
      <errorWord>20%-30%</errorWord>
      <group>L1_Knowledge</group>
      <groupName>知识性问题</groupName>
      <ability>L2_Knowledge</ability>
      <abilityName>其他知识</abilityName>
      <candidateList>
        <item>20%—30%</item>
      </candidateList>
      <explain>1. “20%-30%”中的单位“%”仅出现在后一个数字上，容易引起歧义；根据《现代汉语标点符号数字用法规范手册》，数字表示范围两边需要使用统一的格式。2. 根据标点国标 4.13 中的规则，数字、时间或地域连接符应使用（视觉上更长的）“—”或“～”。</explain>
      <paraID>51AEC423</paraID>
      <start>453</start>
      <end>460</end>
      <status>unmodified</status>
      <modifiedWord/>
      <trackRevisions>false</trackRevisions>
    </reviewItem>
    <reviewItem>
      <errorID>74a8339b-085a-406c-a98b-5d8801d41a4a</errorID>
      <errorWord>:</errorWord>
      <group>L1_Format</group>
      <groupName>格式问题</groupName>
      <ability>L2_HalfPunc</ability>
      <abilityName>全半角检查</abilityName>
      <candidateList>
        <item>：</item>
      </candidateList>
      <explain>文本全半角错误。</explain>
      <paraID>51AEC423</paraID>
      <start>517</start>
      <end>518</end>
      <status>unmodified</status>
      <modifiedWord/>
      <trackRevisions>false</trackRevisions>
    </reviewItem>
    <reviewItem>
      <errorID>2b58435e-5aac-412c-a28a-ea8e47ec2858</errorID>
      <errorWord>:</errorWord>
      <group>L1_Format</group>
      <groupName>格式问题</groupName>
      <ability>L2_HalfPunc</ability>
      <abilityName>全半角检查</abilityName>
      <candidateList>
        <item>：</item>
      </candidateList>
      <explain>文本全半角错误。</explain>
      <paraID>51AEC423</paraID>
      <start>577</start>
      <end>578</end>
      <status>unmodified</status>
      <modifiedWord/>
      <trackRevisions>false</trackRevisions>
    </reviewItem>
    <reviewItem>
      <errorID>1c8d39cc-5213-4609-8fc8-6a61cd9b9e58</errorID>
      <errorWord>需具备</errorWord>
      <group>L1_Word</group>
      <groupName>字词问题</groupName>
      <ability>L2_Typo</ability>
      <abilityName>字词错误</abilityName>
      <candidateList>
        <item>须具备</item>
      </candidateList>
      <explain/>
      <paraID>51AEC423</paraID>
      <start>794</start>
      <end>797</end>
      <status>unmodified</status>
      <modifiedWord/>
      <trackRevisions>false</trackRevisions>
    </reviewItem>
    <reviewItem>
      <errorID>296a444f-532a-4ced-a2b3-b0a05a22d8b9</errorID>
      <errorWord>WiFi</errorWord>
      <group>L1_Punc</group>
      <groupName>标点问题</groupName>
      <ability>L2_Punc</ability>
      <abilityName>标点符号检查</abilityName>
      <candidateList>
        <item>Wi-Fi</item>
      </candidateList>
      <explain/>
      <paraID>2364F7D3</paraID>
      <start>311</start>
      <end>315</end>
      <status>unmodified</status>
      <modifiedWord/>
      <trackRevisions>false</trackRevisions>
    </reviewItem>
    <reviewItem>
      <errorID>30c3a8ea-e8be-44b9-887c-de895c19d379</errorID>
      <errorWord>20%-30%</errorWord>
      <group>L1_Knowledge</group>
      <groupName>知识性问题</groupName>
      <ability>L2_Knowledge</ability>
      <abilityName>其他知识</abilityName>
      <candidateList>
        <item>20%—30%</item>
      </candidateList>
      <explain>1. “20%-30%”中的单位“%”仅出现在后一个数字上，容易引起歧义；根据《现代汉语标点符号数字用法规范手册》，数字表示范围两边需要使用统一的格式。2. 根据标点国标 4.13 中的规则，数字、时间或地域连接符应使用（视觉上更长的）“—”或“～”。</explain>
      <paraID>2364F7D3</paraID>
      <start>542</start>
      <end>549</end>
      <status>unmodified</status>
      <modifiedWord/>
      <trackRevisions>false</trackRevisions>
    </reviewItem>
    <reviewItem>
      <errorID>33c3b80f-1d8d-4dcd-8756-608168aa6032</errorID>
      <errorWord>，</errorWord>
      <group>L1_AI</group>
      <groupName>深度校对</groupName>
      <ability>L2_AI_Punc</ability>
      <abilityName>标点纠错</abilityName>
      <candidateList>
        <item>、</item>
      </candidateList>
      <explain/>
      <paraID>2364F7D3</paraID>
      <start>592</start>
      <end>593</end>
      <status>unmodified</status>
      <modifiedWord/>
      <trackRevisions>false</trackRevisions>
    </reviewItem>
    <reviewItem>
      <errorID>8f5445fd-3051-438b-9f6e-c6f3b063d135</errorID>
      <errorWord>；</errorWord>
      <group>L1_AI</group>
      <groupName>深度校对</groupName>
      <ability>L2_AI_Punc</ability>
      <abilityName>标点纠错</abilityName>
      <candidateList>
        <item>。</item>
      </candidateList>
      <explain/>
      <paraID>2364F7D3</paraID>
      <start>600</start>
      <end>601</end>
      <status>unmodified</status>
      <modifiedWord/>
      <trackRevisions>false</trackRevisions>
    </reviewItem>
    <reviewItem>
      <errorID>71c0fa9f-776d-419b-8050-e341946737c4</errorID>
      <errorWord>:</errorWord>
      <group>L1_AI</group>
      <groupName>深度校对</groupName>
      <ability>L2_AI_Punc</ability>
      <abilityName>标点纠错</abilityName>
      <candidateList>
        <item>：</item>
      </candidateList>
      <explain/>
      <paraID>2364F7D3</paraID>
      <start>607</start>
      <end>608</end>
      <status>unmodified</status>
      <modifiedWord/>
      <trackRevisions>false</trackRevisions>
    </reviewItem>
    <reviewItem>
      <errorID>4bd12d4f-fc7b-4669-99e0-bcdf523a7e3c</errorID>
      <errorWord>发光强度</errorWord>
      <group>L1_AI</group>
      <groupName>深度校对</groupName>
      <ability>L2_AI_Punc</ability>
      <abilityName>标点纠错</abilityName>
      <candidateList>
        <item>，发光强度</item>
      </candidateList>
      <explain/>
      <paraID>2364F7D3</paraID>
      <start>613</start>
      <end>617</end>
      <status>unmodified</status>
      <modifiedWord/>
      <trackRevisions>false</trackRevisions>
    </reviewItem>
    <reviewItem>
      <errorID>bef9652c-274a-4f65-aa7a-fcb015364b3f</errorID>
      <errorWord>灯具</errorWord>
      <group>L1_AI</group>
      <groupName>深度校对</groupName>
      <ability>L2_AI_Punc</ability>
      <abilityName>标点纠错</abilityName>
      <candidateList>
        <item>，灯具</item>
      </candidateList>
      <explain/>
      <paraID>2364F7D3</paraID>
      <start>628</start>
      <end>630</end>
      <status>unmodified</status>
      <modifiedWord/>
      <trackRevisions>false</trackRevisions>
    </reviewItem>
    <reviewItem>
      <errorID>0868e992-7b9f-4721-82b6-798bab009114</errorID>
      <errorWord>-</errorWord>
      <group>L1_AI</group>
      <groupName>深度校对</groupName>
      <ability>L2_AI_Punc</ability>
      <abilityName>标点纠错</abilityName>
      <candidateList>
        <item>~</item>
      </candidateList>
      <explain/>
      <paraID>2364F7D3</paraID>
      <start>638</start>
      <end>639</end>
      <status>unmodified</status>
      <modifiedWord/>
      <trackRevisions>false</trackRevisions>
    </reviewItem>
    <reviewItem>
      <errorID>fe13fd1d-7fa2-44fe-a5d1-99d3a4ae1dc8</errorID>
      <errorWord>；</errorWord>
      <group>L1_AI</group>
      <groupName>深度校对</groupName>
      <ability>L2_AI_Punc</ability>
      <abilityName>标点纠错</abilityName>
      <candidateList>
        <item>。</item>
      </candidateList>
      <explain/>
      <paraID>2364F7D3</paraID>
      <start>654</start>
      <end>655</end>
      <status>unmodified</status>
      <modifiedWord/>
      <trackRevisions>false</trackRevisions>
    </reviewItem>
    <reviewItem>
      <errorID>84ff875c-819d-4a8f-8f5c-aa452c0b8b52</errorID>
      <errorWord>:</errorWord>
      <group>L1_AI</group>
      <groupName>深度校对</groupName>
      <ability>L2_AI_Punc</ability>
      <abilityName>标点纠错</abilityName>
      <candidateList>
        <item>：</item>
      </candidateList>
      <explain/>
      <paraID>2364F7D3</paraID>
      <start>668</start>
      <end>669</end>
      <status>unmodified</status>
      <modifiedWord/>
      <trackRevisions>false</trackRevisions>
    </reviewItem>
    <reviewItem>
      <errorID>e3682c88-6f1f-43fd-8fd8-15042e60368a</errorID>
      <errorWord>；</errorWord>
      <group>L1_AI</group>
      <groupName>深度校对</groupName>
      <ability>L2_AI_Punc</ability>
      <abilityName>标点纠错</abilityName>
      <candidateList>
        <item>。</item>
      </candidateList>
      <explain/>
      <paraID>2364F7D3</paraID>
      <start>698</start>
      <end>699</end>
      <status>unmodified</status>
      <modifiedWord/>
      <trackRevisions>false</trackRevisions>
    </reviewItem>
    <reviewItem>
      <errorID>423804e1-9621-435a-b3cc-30bfb19c291d</errorID>
      <errorWord>需具备</errorWord>
      <group>L1_Word</group>
      <groupName>字词问题</groupName>
      <ability>L2_Typo</ability>
      <abilityName>字词错误</abilityName>
      <candidateList>
        <item>须具备</item>
      </candidateList>
      <explain/>
      <paraID>2364F7D3</paraID>
      <start>848</start>
      <end>851</end>
      <status>unmodified</status>
      <modifiedWord/>
      <trackRevisions>false</trackRevisions>
    </reviewItem>
    <reviewItem>
      <errorID>768eba6d-d2d1-4444-97b0-7f328705bb45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2C1ED225</paraID>
      <start>0</start>
      <end>2</end>
      <status>unmodified</status>
      <modifiedWord/>
      <trackRevisions>false</trackRevisions>
    </reviewItem>
    <reviewItem>
      <errorID>55766983-ad08-4485-8529-b8e4a3ac2cc4</errorID>
      <errorWord>进行的</errorWord>
      <group>L1_Word</group>
      <groupName>字词问题</groupName>
      <ability>L2_Typo</ability>
      <abilityName>字词错误</abilityName>
      <candidateList>
        <item>进行</item>
      </candidateList>
      <explain>〈动〉❶从事（某种活动）：～讨论｜～工作｜～教育和批评｜会议正在～。注意“进行”总是用在持续性的和正式、严肃的行为，短暂性的和日常生活中的行为不用“进行”，例如不说“进行午睡”，“进行叫喊”。❷前进：～曲。</explain>
      <paraID>2C1ED225</paraID>
      <start>84</start>
      <end>87</end>
      <status>unmodified</status>
      <modifiedWord/>
      <trackRevisions>false</trackRevisions>
    </reviewItem>
    <reviewItem>
      <errorID>3c8e3ea7-57eb-4d86-8aa3-9ee442e62b27</errorID>
      <errorWord>更好地</errorWord>
      <group>L1_AI</group>
      <groupName>深度校对</groupName>
      <ability>L2_AI_Grammar</ability>
      <abilityName>语法纠错</abilityName>
      <candidateList>
        <item>的</item>
      </candidateList>
      <explain>置于形容词、名词后，用于修饰事物的形态。</explain>
      <paraID>647676A9</paraID>
      <start>151</start>
      <end>154</end>
      <status>unmodified</status>
      <modifiedWord/>
      <trackRevisions>false</trackRevisions>
    </reviewItem>
    <reviewItem>
      <errorID>31d9ed49-dadd-4de8-bd27-1322757cdb9c</errorID>
      <errorWord>，</errorWord>
      <group>L1_AI</group>
      <groupName>深度校对</groupName>
      <ability>L2_AI_Punc</ability>
      <abilityName>标点纠错</abilityName>
      <candidateList>
        <item/>
      </candidateList>
      <explain/>
      <paraID>647676A9</paraID>
      <start>158</start>
      <end>159</end>
      <status>unmodified</status>
      <modifiedWord/>
      <trackRevisions>false</trackRevisions>
    </reviewItem>
    <reviewItem>
      <errorID>4dfd1574-5627-41f4-8cf5-7be399d49e4e</errorID>
      <errorWord>,</errorWord>
      <group>L1_Format</group>
      <groupName>格式问题</groupName>
      <ability>L2_HalfPunc</ability>
      <abilityName>全半角检查</abilityName>
      <candidateList>
        <item>，</item>
      </candidateList>
      <explain>文本全半角错误。</explain>
      <paraID>36E884A2</paraID>
      <start>34</start>
      <end>35</end>
      <status>unmodified</status>
      <modifiedWord/>
      <trackRevisions>false</trackRevisions>
    </reviewItem>
    <reviewItem>
      <errorID>7980e317-bf66-4299-a839-7dc35071aebf</errorID>
      <errorWord>受</errorWord>
      <group>L1_AI</group>
      <groupName>深度校对</groupName>
      <ability>L2_AI_Word</ability>
      <abilityName>字词纠错</abilityName>
      <candidateList>
        <item>因</item>
      </candidateList>
      <explain/>
      <paraID>17DC3120</paraID>
      <start>48</start>
      <end>49</end>
      <status>unmodified</status>
      <modifiedWord/>
      <trackRevisions>false</trackRevisions>
    </reviewItem>
    <reviewItem>
      <errorID>4db14da0-4cac-4c0d-bf53-b5459b3bdcce</errorID>
      <errorWord>,</errorWord>
      <group>L1_Format</group>
      <groupName>格式问题</groupName>
      <ability>L2_HalfPunc</ability>
      <abilityName>全半角检查</abilityName>
      <candidateList>
        <item>，</item>
      </candidateList>
      <explain>文本全半角错误。</explain>
      <paraID>17DC3120</paraID>
      <start>85</start>
      <end>86</end>
      <status>unmodified</status>
      <modifiedWord/>
      <trackRevisions>false</trackRevisions>
    </reviewItem>
    <reviewItem>
      <errorID>2b805f3f-5a53-4eb5-beca-4aaca72a48db</errorID>
      <errorWord>内的所涉及的</errorWord>
      <group>L1_AI</group>
      <groupName>深度校对</groupName>
      <ability>L2_AI_Grammar</ability>
      <abilityName>语法纠错</abilityName>
      <candidateList>
        <item>内</item>
      </candidateList>
      <explain>❶〈名〉方位词。里头（跟“外”相对）：～衣｜～部｜室～｜国～｜年～。❷指妻或妻的亲属：～人｜～侄｜～弟。❸指内心或内脏：～省｜～疚｜五～俱焚。❹〈书〉指皇宫：大～。</explain>
      <paraID>75554E92</paraID>
      <start>27</start>
      <end>33</end>
      <status>unmodified</status>
      <modifiedWord/>
      <trackRevisions>false</trackRevisions>
    </reviewItem>
    <reviewItem>
      <errorID>c039b39e-3b0b-4503-b55d-1e6ea1447962</errorID>
      <errorWord>其它</errorWord>
      <group>L1_Word</group>
      <groupName>字词问题</groupName>
      <ability>L2_Alias</ability>
      <abilityName>也作/曾用词</abilityName>
      <candidateList>
        <item>其他</item>
      </candidateList>
      <explain>词汇[其它]为不规范表述或旧称，其规范书面表述为[其他]。</explain>
      <paraID>75554E92</paraID>
      <start>115</start>
      <end>117</end>
      <status>unmodified</status>
      <modifiedWord/>
      <trackRevisions>false</trackRevisions>
    </reviewItem>
    <reviewItem>
      <errorID>5a9d0da7-2efc-43e2-8540-f696570c0b53</errorID>
      <errorWord>其它</errorWord>
      <group>L1_Word</group>
      <groupName>字词问题</groupName>
      <ability>L2_Alias</ability>
      <abilityName>也作/曾用词</abilityName>
      <candidateList>
        <item>其他</item>
      </candidateList>
      <explain>词汇[其它]为不规范表述或旧称，其规范书面表述为[其他]。</explain>
      <paraID> B8C569C</paraID>
      <start>41</start>
      <end>43</end>
      <status>unmodified</status>
      <modifiedWord/>
      <trackRevisions>false</trackRevisions>
    </reviewItem>
    <reviewItem>
      <errorID>4eaf74d4-1d88-40b7-b217-063e8a3175d4</errorID>
      <errorWord>未</errorWord>
      <group>L1_Word</group>
      <groupName>字词问题</groupName>
      <ability>L2_Typo</ability>
      <abilityName>字词错误</abilityName>
      <candidateList>
        <item>未支</item>
      </candidateList>
      <explain/>
      <paraID>21E345C9</paraID>
      <start>110</start>
      <end>111</end>
      <status>unmodified</status>
      <modifiedWord/>
      <trackRevisions>false</trackRevisions>
    </reviewItem>
    <reviewItem>
      <errorID>e0624a3b-7219-4619-9414-4c64eb853618</errorID>
      <errorWord>人在</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❽指人手、人才：～浮于事｜我们这里正缺～。❾（Rén）姓。</explain>
      <paraID>21E345C9</paraID>
      <start>182</start>
      <end>184</end>
      <status>unmodified</status>
      <modifiedWord/>
      <trackRevisions>false</trackRevisions>
    </reviewItem>
    <reviewItem>
      <errorID>f2922852-5de3-46b6-b3cc-ad339b31dbe6</errorID>
      <errorWord>法律、法规</errorWord>
      <group>L1_Word</group>
      <groupName>字词问题</groupName>
      <ability>L2_Typo</ability>
      <abilityName>字词错误</abilityName>
      <candidateList>
        <item>法律法规</item>
      </candidateList>
      <explain/>
      <paraID>4F28D436</paraID>
      <start>18</start>
      <end>23</end>
      <status>unmodified</status>
      <modifiedWord/>
      <trackRevisions>false</trackRevisions>
    </reviewItem>
    <reviewItem>
      <errorID>643ae4a2-2c21-4238-b7c0-6b5b921fb8ae</errorID>
      <errorWord>法律、法规</errorWord>
      <group>L1_Word</group>
      <groupName>字词问题</groupName>
      <ability>L2_Typo</ability>
      <abilityName>字词错误</abilityName>
      <candidateList>
        <item>法律法规</item>
      </candidateList>
      <explain/>
      <paraID>4F28D436</paraID>
      <start>53</start>
      <end>58</end>
      <status>unmodified</status>
      <modifiedWord/>
      <trackRevisions>false</trackRevisions>
    </reviewItem>
    <reviewItem>
      <errorID>ad027751-f0f7-4ef6-8e52-090ed04a823c</errorID>
      <errorWord>其它约定</errorWord>
      <group>L1_Word</group>
      <groupName>字词问题</groupName>
      <ability>L2_Alias</ability>
      <abilityName>也作/曾用词</abilityName>
      <candidateList>
        <item>其他约定</item>
      </candidateList>
      <explain>词汇[其它约定]为不规范表述或旧称，其规范书面表述为[其他约定]。</explain>
      <paraID>1A29B976</paraID>
      <start>12</start>
      <end>16</end>
      <status>unmodified</status>
      <modifiedWord/>
      <trackRevisions>false</trackRevisions>
    </reviewItem>
  </reviewItems>
  <config/>
</contractReview>
</file>

<file path=customXml/itemProps1.xml><?xml version="1.0" encoding="utf-8"?>
<ds:datastoreItem xmlns:ds="http://schemas.openxmlformats.org/officeDocument/2006/customXml" ds:itemID="{EBAD64AD-94C9-43AD-9A82-77685D79425E}">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1015</Words>
  <Characters>1229</Characters>
  <Lines>134</Lines>
  <Paragraphs>176</Paragraphs>
  <TotalTime>112</TotalTime>
  <ScaleCrop>false</ScaleCrop>
  <LinksUpToDate>false</LinksUpToDate>
  <CharactersWithSpaces>1251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2026-03-06T03:30:00Z</dcterms:created>
  <dc:creator>44</dc:creator>
  <cp:lastModifiedBy>陈</cp:lastModifiedBy>
  <cp:lastPrinted>2025-12-04T08:33:00Z</cp:lastPrinted>
  <dcterms:modified xsi:type="dcterms:W3CDTF">2026-05-19T09:45:03Z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eyJoZGlkIjoiYTllZGY3OGYwNjg1NjcyYTdjODllOWQyY2U3NmI4NzIiLCJ1c2VySWQiOiIzNDAxNDA3NzQifQ==</vt:lpwstr>
  </property>
  <property fmtid="{D5CDD505-2E9C-101B-9397-08002B2CF9AE}" pid="4" name="ICV">
    <vt:lpwstr>E60905BEF96C485680903BA3135AC70A_13</vt:lpwstr>
  </property>
</Properties>
</file>